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_GBK"/>
          <w:kern w:val="0"/>
          <w:sz w:val="44"/>
          <w:szCs w:val="44"/>
        </w:rPr>
      </w:pPr>
      <w:r>
        <w:rPr>
          <w:rFonts w:eastAsia="方正小标宋_GBK"/>
          <w:kern w:val="0"/>
          <w:sz w:val="44"/>
          <w:szCs w:val="44"/>
        </w:rPr>
        <w:t>公路、水路进口高风险非冷链集装箱货物</w:t>
      </w:r>
    </w:p>
    <w:p>
      <w:pPr>
        <w:spacing w:line="700" w:lineRule="exact"/>
        <w:jc w:val="center"/>
        <w:rPr>
          <w:rFonts w:eastAsia="方正小标宋_GBK"/>
          <w:color w:val="000000"/>
          <w:sz w:val="44"/>
          <w:szCs w:val="36"/>
        </w:rPr>
      </w:pPr>
      <w:r>
        <w:rPr>
          <w:rFonts w:eastAsia="方正小标宋_GBK"/>
          <w:kern w:val="0"/>
          <w:sz w:val="44"/>
          <w:szCs w:val="44"/>
        </w:rPr>
        <w:t>预防性消毒工作指南</w:t>
      </w:r>
      <w:r>
        <w:rPr>
          <w:rFonts w:eastAsia="方正小标宋_GBK"/>
          <w:color w:val="000000"/>
          <w:sz w:val="44"/>
          <w:szCs w:val="36"/>
        </w:rPr>
        <w:t>（第二版）</w:t>
      </w:r>
    </w:p>
    <w:p>
      <w:pPr>
        <w:spacing w:line="580" w:lineRule="exact"/>
        <w:jc w:val="center"/>
        <w:rPr>
          <w:rFonts w:eastAsia="方正小标宋_GBK"/>
          <w:b/>
          <w:bCs/>
          <w:kern w:val="0"/>
          <w:sz w:val="44"/>
          <w:szCs w:val="44"/>
        </w:rPr>
      </w:pPr>
    </w:p>
    <w:p>
      <w:pPr>
        <w:spacing w:line="580" w:lineRule="exact"/>
        <w:ind w:firstLine="640" w:firstLineChars="200"/>
        <w:rPr>
          <w:rFonts w:eastAsia="黑体"/>
          <w:kern w:val="0"/>
          <w:sz w:val="32"/>
          <w:szCs w:val="32"/>
        </w:rPr>
      </w:pPr>
      <w:r>
        <w:rPr>
          <w:rFonts w:eastAsia="黑体"/>
          <w:kern w:val="0"/>
          <w:sz w:val="32"/>
          <w:szCs w:val="32"/>
        </w:rPr>
        <w:t>一、依据和适用范围</w:t>
      </w:r>
    </w:p>
    <w:p>
      <w:pPr>
        <w:spacing w:line="580" w:lineRule="exact"/>
        <w:ind w:firstLine="640" w:firstLineChars="200"/>
        <w:rPr>
          <w:rFonts w:eastAsia="仿宋_GB2312"/>
          <w:kern w:val="0"/>
          <w:sz w:val="32"/>
          <w:szCs w:val="32"/>
        </w:rPr>
      </w:pPr>
      <w:r>
        <w:rPr>
          <w:rFonts w:eastAsia="仿宋_GB2312"/>
          <w:kern w:val="0"/>
          <w:sz w:val="32"/>
          <w:szCs w:val="32"/>
        </w:rPr>
        <w:t>为贯彻落实“外防输入、内防反弹”疫情防控策略，指导公路、水路进口高风险非冷链集装箱货物装卸运输相关作业单位和人员做好新冠病毒</w:t>
      </w:r>
      <w:r>
        <w:rPr>
          <w:rFonts w:hint="eastAsia" w:eastAsia="仿宋_GB2312"/>
          <w:kern w:val="0"/>
          <w:sz w:val="32"/>
          <w:szCs w:val="32"/>
        </w:rPr>
        <w:t>检测</w:t>
      </w:r>
      <w:r>
        <w:rPr>
          <w:rFonts w:eastAsia="仿宋_GB2312"/>
          <w:kern w:val="0"/>
          <w:sz w:val="32"/>
          <w:szCs w:val="32"/>
        </w:rPr>
        <w:t>和预防性消毒工作，保障从业人员身体健康，防止新冠病毒通过进口非冷链集装箱运输渠道传播，按照国务院应对新型冠状病毒肺炎疫情联防联控机制</w:t>
      </w:r>
      <w:r>
        <w:rPr>
          <w:rFonts w:hint="eastAsia" w:eastAsia="仿宋_GB2312"/>
          <w:kern w:val="0"/>
          <w:sz w:val="32"/>
          <w:szCs w:val="32"/>
        </w:rPr>
        <w:t>《关于进一步优化进口物品新冠肺炎疫情防控工作的通知》</w:t>
      </w:r>
      <w:r>
        <w:rPr>
          <w:rFonts w:eastAsia="仿宋_GB2312"/>
          <w:kern w:val="0"/>
          <w:sz w:val="32"/>
          <w:szCs w:val="32"/>
        </w:rPr>
        <w:t>（</w:t>
      </w:r>
      <w:r>
        <w:rPr>
          <w:rFonts w:hint="eastAsia" w:eastAsia="仿宋_GB2312"/>
          <w:kern w:val="0"/>
          <w:sz w:val="32"/>
          <w:szCs w:val="32"/>
        </w:rPr>
        <w:t>国卫明电</w:t>
      </w:r>
      <w:r>
        <w:rPr>
          <w:rFonts w:eastAsia="仿宋_GB2312"/>
          <w:kern w:val="0"/>
          <w:sz w:val="32"/>
          <w:szCs w:val="32"/>
        </w:rPr>
        <w:t>发〔2022〕</w:t>
      </w:r>
      <w:r>
        <w:rPr>
          <w:rFonts w:hint="eastAsia" w:eastAsia="仿宋_GB2312"/>
          <w:kern w:val="0"/>
          <w:sz w:val="32"/>
          <w:szCs w:val="32"/>
        </w:rPr>
        <w:t>270</w:t>
      </w:r>
      <w:r>
        <w:rPr>
          <w:rFonts w:eastAsia="仿宋_GB2312"/>
          <w:kern w:val="0"/>
          <w:sz w:val="32"/>
          <w:szCs w:val="32"/>
        </w:rPr>
        <w:t>号）、《关于印发新型冠状病毒肺炎防控方案（第九版）的通知》（联防联控机制综发〔2022〕71号）、《关于进一步加强新冠肺炎疫情防控消毒工作的通知》（联防联控机制综发〔2021〕94号）、《关于印发进口高风险非冷链集装箱货物检测和预防性消毒工作方案的通知》（联防联控机制综发〔2020〕277号）等部署要求，结合我部最新印发的《道路货运车辆、从业人员及场站新冠肺炎疫情防控工作指南》《港口及其一线人员新冠肺炎疫情防控工作指南》等工作部署，针对公路、水路进口非冷链集装箱货物装卸和运输相关作业单位和运输重点环节，制定本指南。</w:t>
      </w:r>
    </w:p>
    <w:p>
      <w:pPr>
        <w:spacing w:line="580" w:lineRule="exact"/>
        <w:ind w:firstLine="640" w:firstLineChars="200"/>
        <w:rPr>
          <w:rFonts w:eastAsia="仿宋_GB2312"/>
          <w:kern w:val="0"/>
          <w:sz w:val="32"/>
          <w:szCs w:val="32"/>
        </w:rPr>
      </w:pPr>
      <w:r>
        <w:rPr>
          <w:rFonts w:eastAsia="仿宋_GB2312"/>
          <w:kern w:val="0"/>
          <w:sz w:val="32"/>
          <w:szCs w:val="32"/>
        </w:rPr>
        <w:t>进口非冷链集装箱货物指运输温度在10℃以上的进口集装箱货物，按照被污染风险分为低风险和高风险2个风险等级。低风险进口非冷链集装箱货物不再实施预防性消毒。不属于以下任一情形，或无法判定风险等级的进口非冷链集装箱货物，按照“从严”原则，判定为高风险。</w:t>
      </w:r>
    </w:p>
    <w:p>
      <w:pPr>
        <w:spacing w:line="580" w:lineRule="exact"/>
        <w:ind w:firstLine="640" w:firstLineChars="200"/>
        <w:rPr>
          <w:rFonts w:eastAsia="仿宋_GB2312"/>
          <w:kern w:val="0"/>
          <w:sz w:val="32"/>
          <w:szCs w:val="32"/>
        </w:rPr>
      </w:pPr>
      <w:r>
        <w:rPr>
          <w:rFonts w:eastAsia="仿宋_GB2312"/>
          <w:kern w:val="0"/>
          <w:sz w:val="32"/>
          <w:szCs w:val="32"/>
        </w:rPr>
        <w:t>（1）来自新冠肺炎疫情低风险国家（地区）的进口非冷链集装箱货物；</w:t>
      </w:r>
    </w:p>
    <w:p>
      <w:pPr>
        <w:spacing w:line="580" w:lineRule="exact"/>
        <w:ind w:firstLine="640" w:firstLineChars="200"/>
        <w:rPr>
          <w:rFonts w:eastAsia="仿宋_GB2312"/>
          <w:kern w:val="0"/>
          <w:sz w:val="32"/>
          <w:szCs w:val="32"/>
        </w:rPr>
      </w:pPr>
      <w:r>
        <w:rPr>
          <w:rFonts w:eastAsia="仿宋_GB2312"/>
          <w:kern w:val="0"/>
          <w:sz w:val="32"/>
          <w:szCs w:val="32"/>
        </w:rPr>
        <w:t>（2）所有大宗散装货物，包括煤炭、矿石、化工原料、粮食、饲料、牧草、原木等进口非冷链集装箱货物；</w:t>
      </w:r>
    </w:p>
    <w:p>
      <w:pPr>
        <w:spacing w:line="580" w:lineRule="exact"/>
        <w:ind w:firstLine="640" w:firstLineChars="200"/>
        <w:rPr>
          <w:rFonts w:eastAsia="仿宋_GB2312"/>
          <w:kern w:val="0"/>
          <w:sz w:val="32"/>
          <w:szCs w:val="32"/>
        </w:rPr>
      </w:pPr>
      <w:r>
        <w:rPr>
          <w:rFonts w:eastAsia="仿宋_GB2312"/>
          <w:kern w:val="0"/>
          <w:sz w:val="32"/>
          <w:szCs w:val="32"/>
        </w:rPr>
        <w:t>（3）装载入境物品的航空器、船舶、列车、汽车自离开启运口岸起超过24小时的进口非冷链集装箱货物；</w:t>
      </w:r>
    </w:p>
    <w:p>
      <w:pPr>
        <w:spacing w:line="580" w:lineRule="exact"/>
        <w:ind w:firstLine="640" w:firstLineChars="200"/>
        <w:rPr>
          <w:rFonts w:eastAsia="仿宋_GB2312"/>
          <w:kern w:val="0"/>
          <w:sz w:val="32"/>
          <w:szCs w:val="32"/>
        </w:rPr>
      </w:pPr>
      <w:r>
        <w:rPr>
          <w:rFonts w:eastAsia="仿宋_GB2312"/>
          <w:kern w:val="0"/>
          <w:sz w:val="32"/>
          <w:szCs w:val="32"/>
        </w:rPr>
        <w:t>（4）装卸时不与装卸人员接触的进口非冷链集装箱货物；</w:t>
      </w:r>
    </w:p>
    <w:p>
      <w:pPr>
        <w:spacing w:line="580" w:lineRule="exact"/>
        <w:ind w:firstLine="640" w:firstLineChars="200"/>
        <w:rPr>
          <w:rFonts w:eastAsia="仿宋_GB2312"/>
          <w:kern w:val="0"/>
          <w:sz w:val="32"/>
          <w:szCs w:val="32"/>
        </w:rPr>
      </w:pPr>
      <w:r>
        <w:rPr>
          <w:rFonts w:eastAsia="仿宋_GB2312"/>
          <w:kern w:val="0"/>
          <w:sz w:val="32"/>
          <w:szCs w:val="32"/>
        </w:rPr>
        <w:t>（5）已实施预防性消毒的进口非冷链集装箱货物。</w:t>
      </w:r>
    </w:p>
    <w:p>
      <w:pPr>
        <w:spacing w:line="580" w:lineRule="exact"/>
        <w:ind w:firstLine="640" w:firstLineChars="200"/>
        <w:rPr>
          <w:rFonts w:eastAsia="仿宋_GB2312"/>
          <w:kern w:val="0"/>
          <w:sz w:val="32"/>
          <w:szCs w:val="32"/>
        </w:rPr>
      </w:pPr>
      <w:r>
        <w:rPr>
          <w:rFonts w:eastAsia="仿宋_GB2312"/>
          <w:kern w:val="0"/>
          <w:sz w:val="32"/>
          <w:szCs w:val="32"/>
        </w:rPr>
        <w:t>根据以上情形，判定为低风险的进口非冷链集装箱货物，运载该物品的交通工具司乘人员中发现有确诊病例或无症状感染者的，由地方联防联控机制综合研判风险等级。特殊用途的进口非冷链集装箱货物由地方联防联控机制综合研判风险等级。</w:t>
      </w:r>
    </w:p>
    <w:p>
      <w:pPr>
        <w:spacing w:line="580" w:lineRule="exact"/>
        <w:ind w:firstLine="640" w:firstLineChars="200"/>
        <w:rPr>
          <w:rFonts w:eastAsia="仿宋_GB2312"/>
          <w:kern w:val="0"/>
          <w:sz w:val="32"/>
          <w:szCs w:val="32"/>
        </w:rPr>
      </w:pPr>
      <w:r>
        <w:rPr>
          <w:rFonts w:eastAsia="仿宋_GB2312"/>
          <w:kern w:val="0"/>
          <w:sz w:val="32"/>
          <w:szCs w:val="32"/>
        </w:rPr>
        <w:t>本指南适用于从事非冷链集装箱货物装卸、运输等作业的公路、水路运输企业、港口码头、货运场站等经营单位（以下统称非冷链集装箱物流企业），对国内运输段装运前后的进口高风险非冷链集装箱货物装载运输工具实施消毒，以及受货主委托在掏箱作业时组织对货物外包装实施预防性消毒工作。</w:t>
      </w:r>
    </w:p>
    <w:p>
      <w:pPr>
        <w:spacing w:line="580" w:lineRule="exact"/>
        <w:ind w:firstLine="640" w:firstLineChars="200"/>
        <w:rPr>
          <w:rFonts w:hint="eastAsia" w:eastAsia="仿宋_GB2312"/>
          <w:kern w:val="0"/>
          <w:sz w:val="32"/>
          <w:szCs w:val="32"/>
        </w:rPr>
      </w:pPr>
      <w:r>
        <w:rPr>
          <w:rFonts w:eastAsia="仿宋_GB2312"/>
          <w:kern w:val="0"/>
          <w:sz w:val="32"/>
          <w:szCs w:val="32"/>
        </w:rPr>
        <w:t>对于危险化学品、活动物、饲料、饲料添加剂、水果、蔬菜、精密仪器等无外包装或外包装易造成消毒液体渗透污染的物品，不实施集装箱货物预防性消毒，由地方联防联控机制视情以适当方式进行处置。</w:t>
      </w:r>
    </w:p>
    <w:p>
      <w:pPr>
        <w:spacing w:line="580" w:lineRule="exact"/>
        <w:ind w:firstLine="640" w:firstLineChars="200"/>
        <w:rPr>
          <w:rFonts w:eastAsia="黑体"/>
          <w:kern w:val="0"/>
          <w:sz w:val="32"/>
          <w:szCs w:val="32"/>
        </w:rPr>
      </w:pPr>
      <w:r>
        <w:rPr>
          <w:rFonts w:eastAsia="黑体"/>
          <w:kern w:val="0"/>
          <w:sz w:val="32"/>
          <w:szCs w:val="32"/>
        </w:rPr>
        <w:t>二、工作职责</w:t>
      </w:r>
    </w:p>
    <w:p>
      <w:pPr>
        <w:spacing w:line="580" w:lineRule="exact"/>
        <w:ind w:firstLine="643" w:firstLineChars="200"/>
        <w:rPr>
          <w:rFonts w:eastAsia="楷体"/>
          <w:b/>
          <w:bCs/>
          <w:kern w:val="0"/>
          <w:sz w:val="32"/>
          <w:szCs w:val="32"/>
        </w:rPr>
      </w:pPr>
      <w:r>
        <w:rPr>
          <w:rFonts w:eastAsia="楷体"/>
          <w:b/>
          <w:bCs/>
          <w:kern w:val="0"/>
          <w:sz w:val="32"/>
          <w:szCs w:val="32"/>
        </w:rPr>
        <w:t>（一）作业单位。</w:t>
      </w:r>
    </w:p>
    <w:p>
      <w:pPr>
        <w:spacing w:line="580" w:lineRule="exact"/>
        <w:ind w:firstLine="640" w:firstLineChars="200"/>
        <w:rPr>
          <w:rFonts w:eastAsia="仿宋_GB2312"/>
          <w:kern w:val="0"/>
          <w:sz w:val="32"/>
          <w:szCs w:val="32"/>
        </w:rPr>
      </w:pPr>
      <w:r>
        <w:rPr>
          <w:rFonts w:eastAsia="仿宋_GB2312"/>
          <w:kern w:val="0"/>
          <w:sz w:val="32"/>
          <w:szCs w:val="32"/>
        </w:rPr>
        <w:t>企业按照“谁的货物谁负责，谁作业谁组织消毒”的原则，货主或受其委托的装卸货作业单位负责组织或委托消毒单位对进口</w:t>
      </w:r>
      <w:r>
        <w:rPr>
          <w:rFonts w:hint="eastAsia" w:eastAsia="仿宋_GB2312"/>
          <w:kern w:val="0"/>
          <w:sz w:val="32"/>
          <w:szCs w:val="32"/>
        </w:rPr>
        <w:t>高风险非冷链</w:t>
      </w:r>
      <w:r>
        <w:rPr>
          <w:rFonts w:eastAsia="仿宋_GB2312"/>
          <w:kern w:val="0"/>
          <w:sz w:val="32"/>
          <w:szCs w:val="32"/>
        </w:rPr>
        <w:t>集装箱在首次掏箱卸货作业时实施预防性消毒。</w:t>
      </w:r>
    </w:p>
    <w:p>
      <w:pPr>
        <w:spacing w:line="580" w:lineRule="exact"/>
        <w:ind w:firstLine="640" w:firstLineChars="200"/>
        <w:rPr>
          <w:rFonts w:eastAsia="仿宋_GB2312"/>
          <w:kern w:val="0"/>
          <w:sz w:val="32"/>
          <w:szCs w:val="32"/>
        </w:rPr>
      </w:pPr>
      <w:r>
        <w:rPr>
          <w:rFonts w:eastAsia="仿宋_GB2312"/>
          <w:kern w:val="0"/>
          <w:sz w:val="32"/>
          <w:szCs w:val="32"/>
        </w:rPr>
        <w:t>非冷链集装箱物流企业，应主动向货主或货代确认进口非冷链集装箱货物</w:t>
      </w:r>
      <w:r>
        <w:rPr>
          <w:rFonts w:hint="eastAsia" w:eastAsia="仿宋_GB2312"/>
          <w:kern w:val="0"/>
          <w:sz w:val="32"/>
          <w:szCs w:val="32"/>
        </w:rPr>
        <w:t>风险等级</w:t>
      </w:r>
      <w:r>
        <w:rPr>
          <w:rFonts w:eastAsia="仿宋_GB2312"/>
          <w:kern w:val="0"/>
          <w:sz w:val="32"/>
          <w:szCs w:val="32"/>
        </w:rPr>
        <w:t>是否为高风险，负责组织或委托消毒单位对进口高风险非冷链集装箱货物国内运输段装运前后的装载运输工具实施消毒，做好一线工作人员个人防护。作业单位要严格遵守法律法规及相关国家标准要求，按照本指南要求做好新冠病毒防控和预防性消毒工作，执行当地应对新冠肺炎疫情联防联控机制各项工作部署。</w:t>
      </w:r>
    </w:p>
    <w:p>
      <w:pPr>
        <w:spacing w:line="580" w:lineRule="exact"/>
        <w:ind w:firstLine="643" w:firstLineChars="200"/>
        <w:rPr>
          <w:rFonts w:eastAsia="楷体"/>
          <w:b/>
          <w:bCs/>
          <w:kern w:val="0"/>
          <w:sz w:val="32"/>
          <w:szCs w:val="32"/>
        </w:rPr>
      </w:pPr>
      <w:r>
        <w:rPr>
          <w:rFonts w:eastAsia="楷体"/>
          <w:b/>
          <w:bCs/>
          <w:kern w:val="0"/>
          <w:sz w:val="32"/>
          <w:szCs w:val="32"/>
        </w:rPr>
        <w:t>（二）交通运输管理部门。</w:t>
      </w:r>
    </w:p>
    <w:p>
      <w:pPr>
        <w:spacing w:line="580" w:lineRule="exact"/>
        <w:ind w:firstLine="640" w:firstLineChars="200"/>
        <w:rPr>
          <w:rFonts w:eastAsia="仿宋_GB2312"/>
          <w:kern w:val="0"/>
          <w:sz w:val="32"/>
          <w:szCs w:val="32"/>
        </w:rPr>
      </w:pPr>
      <w:r>
        <w:rPr>
          <w:rFonts w:eastAsia="仿宋_GB2312"/>
          <w:kern w:val="0"/>
          <w:sz w:val="32"/>
          <w:szCs w:val="32"/>
        </w:rPr>
        <w:t>负责督促指导进口</w:t>
      </w:r>
      <w:r>
        <w:rPr>
          <w:rFonts w:hint="eastAsia" w:eastAsia="仿宋_GB2312"/>
          <w:kern w:val="0"/>
          <w:sz w:val="32"/>
          <w:szCs w:val="32"/>
        </w:rPr>
        <w:t>高风险</w:t>
      </w:r>
      <w:r>
        <w:rPr>
          <w:rFonts w:eastAsia="仿宋_GB2312"/>
          <w:kern w:val="0"/>
          <w:sz w:val="32"/>
          <w:szCs w:val="32"/>
        </w:rPr>
        <w:t>非冷链集装箱货物承运单位落实运输环节的主体责任并实施相应的消毒处理措施，在国内运输段落实运输工具消毒、一线工作人员个人防护等措施，配合检查进口</w:t>
      </w:r>
      <w:r>
        <w:rPr>
          <w:rFonts w:hint="eastAsia" w:eastAsia="仿宋_GB2312"/>
          <w:kern w:val="0"/>
          <w:sz w:val="32"/>
          <w:szCs w:val="32"/>
        </w:rPr>
        <w:t>高风险</w:t>
      </w:r>
      <w:r>
        <w:rPr>
          <w:rFonts w:eastAsia="仿宋_GB2312"/>
          <w:kern w:val="0"/>
          <w:sz w:val="32"/>
          <w:szCs w:val="32"/>
        </w:rPr>
        <w:t>非冷链集装箱货物倒箱过车（从进口集装箱换装至国内运输车辆）过程中的消毒处理措施的落实情况。</w:t>
      </w:r>
    </w:p>
    <w:p>
      <w:pPr>
        <w:spacing w:line="580" w:lineRule="exact"/>
        <w:ind w:firstLine="640" w:firstLineChars="200"/>
        <w:rPr>
          <w:rFonts w:eastAsia="黑体"/>
          <w:kern w:val="0"/>
          <w:sz w:val="32"/>
          <w:szCs w:val="32"/>
        </w:rPr>
      </w:pPr>
      <w:r>
        <w:rPr>
          <w:rFonts w:eastAsia="黑体"/>
          <w:kern w:val="0"/>
          <w:sz w:val="32"/>
          <w:szCs w:val="32"/>
        </w:rPr>
        <w:t>三、装卸、运输过程防控要求</w:t>
      </w:r>
    </w:p>
    <w:p>
      <w:pPr>
        <w:spacing w:line="580" w:lineRule="exact"/>
        <w:ind w:firstLine="643" w:firstLineChars="200"/>
        <w:rPr>
          <w:rFonts w:eastAsia="楷体"/>
          <w:b/>
          <w:bCs/>
          <w:kern w:val="0"/>
          <w:sz w:val="32"/>
          <w:szCs w:val="32"/>
        </w:rPr>
      </w:pPr>
      <w:r>
        <w:rPr>
          <w:rFonts w:eastAsia="楷体"/>
          <w:b/>
          <w:bCs/>
          <w:kern w:val="0"/>
          <w:sz w:val="32"/>
          <w:szCs w:val="32"/>
        </w:rPr>
        <w:t>（一）装卸作业人员防控要求。</w:t>
      </w:r>
    </w:p>
    <w:p>
      <w:pPr>
        <w:spacing w:line="580" w:lineRule="exact"/>
        <w:ind w:firstLine="640" w:firstLineChars="200"/>
        <w:rPr>
          <w:rFonts w:eastAsia="仿宋_GB2312"/>
          <w:kern w:val="0"/>
          <w:sz w:val="32"/>
          <w:szCs w:val="32"/>
        </w:rPr>
      </w:pPr>
      <w:r>
        <w:rPr>
          <w:rFonts w:eastAsia="仿宋_GB2312"/>
          <w:kern w:val="0"/>
          <w:sz w:val="32"/>
          <w:szCs w:val="32"/>
        </w:rPr>
        <w:t>对进口高风险非冷链集装箱货物进行掏箱作业时，应先与货主沟通确认消毒事宜，经货主委托对货物实施预防性消毒后方可开展装卸作业。作业过程中，从严做好个人防护，应当穿戴工作衣帽，根据风险规范佩戴医用外科口罩、N95/KN95颗粒物防护口罩或以上级别口罩和防护面罩、一次性手套、一次性隔离衣等防护用品，避免货物紧贴面部、手触摸口鼻。如果掏箱作业过程中口罩出现脏污、变形、损坏、异味时或手套出现破损时，应当立即更换，每个口罩累计佩戴时间不超过8小时。</w:t>
      </w:r>
    </w:p>
    <w:p>
      <w:pPr>
        <w:spacing w:line="580" w:lineRule="exact"/>
        <w:ind w:firstLine="643" w:firstLineChars="200"/>
        <w:rPr>
          <w:rFonts w:eastAsia="楷体"/>
          <w:b/>
          <w:bCs/>
          <w:kern w:val="0"/>
          <w:sz w:val="32"/>
          <w:szCs w:val="32"/>
        </w:rPr>
      </w:pPr>
      <w:r>
        <w:rPr>
          <w:rFonts w:eastAsia="楷体"/>
          <w:b/>
          <w:bCs/>
          <w:kern w:val="0"/>
          <w:sz w:val="32"/>
          <w:szCs w:val="32"/>
        </w:rPr>
        <w:t>（二）运输人员防控要求。</w:t>
      </w:r>
    </w:p>
    <w:p>
      <w:pPr>
        <w:spacing w:line="580" w:lineRule="exact"/>
        <w:ind w:firstLine="640" w:firstLineChars="200"/>
        <w:rPr>
          <w:rFonts w:eastAsia="仿宋_GB2312"/>
          <w:kern w:val="0"/>
          <w:sz w:val="32"/>
          <w:szCs w:val="32"/>
        </w:rPr>
      </w:pPr>
      <w:r>
        <w:rPr>
          <w:rFonts w:eastAsia="仿宋_GB2312"/>
          <w:kern w:val="0"/>
          <w:sz w:val="32"/>
          <w:szCs w:val="32"/>
        </w:rPr>
        <w:t>运输进口高风险非冷链集装箱货物的作业人员及随行人员在运输过程中不得擅自开箱，不能随意打开货物包装直接接触货物。车辆进出时，司机及随行人员应当避免与门卫值班员、工作人员有不必要的接触。</w:t>
      </w:r>
    </w:p>
    <w:p>
      <w:pPr>
        <w:spacing w:line="580" w:lineRule="exact"/>
        <w:ind w:firstLine="643" w:firstLineChars="200"/>
        <w:rPr>
          <w:rFonts w:eastAsia="楷体"/>
          <w:b/>
          <w:bCs/>
          <w:kern w:val="0"/>
          <w:sz w:val="32"/>
          <w:szCs w:val="32"/>
        </w:rPr>
      </w:pPr>
      <w:r>
        <w:rPr>
          <w:rFonts w:eastAsia="楷体"/>
          <w:b/>
          <w:bCs/>
          <w:kern w:val="0"/>
          <w:sz w:val="32"/>
          <w:szCs w:val="32"/>
        </w:rPr>
        <w:t>（三）运输工具的防控管理。</w:t>
      </w:r>
    </w:p>
    <w:p>
      <w:pPr>
        <w:spacing w:line="580" w:lineRule="exact"/>
        <w:ind w:firstLine="640" w:firstLineChars="200"/>
        <w:rPr>
          <w:rFonts w:eastAsia="仿宋_GB2312"/>
          <w:kern w:val="0"/>
          <w:sz w:val="32"/>
          <w:szCs w:val="32"/>
        </w:rPr>
      </w:pPr>
      <w:r>
        <w:rPr>
          <w:rFonts w:eastAsia="仿宋_GB2312"/>
          <w:kern w:val="0"/>
          <w:sz w:val="32"/>
          <w:szCs w:val="32"/>
        </w:rPr>
        <w:t>应当确保车辆厢体、船舶内部清洁、无毒、无害、无异味、无污染，定期进行预防性消毒。</w:t>
      </w:r>
    </w:p>
    <w:p>
      <w:pPr>
        <w:spacing w:line="580" w:lineRule="exact"/>
        <w:ind w:firstLine="643" w:firstLineChars="200"/>
        <w:rPr>
          <w:rFonts w:eastAsia="楷体"/>
          <w:b/>
          <w:bCs/>
          <w:kern w:val="0"/>
          <w:sz w:val="32"/>
          <w:szCs w:val="32"/>
        </w:rPr>
      </w:pPr>
      <w:r>
        <w:rPr>
          <w:rFonts w:eastAsia="楷体"/>
          <w:b/>
          <w:bCs/>
          <w:kern w:val="0"/>
          <w:sz w:val="32"/>
          <w:szCs w:val="32"/>
        </w:rPr>
        <w:t>（四）中转转运设施的防控管理。</w:t>
      </w:r>
    </w:p>
    <w:p>
      <w:pPr>
        <w:spacing w:line="580" w:lineRule="exact"/>
        <w:ind w:firstLine="640" w:firstLineChars="200"/>
        <w:rPr>
          <w:rFonts w:eastAsia="仿宋_GB2312"/>
          <w:kern w:val="0"/>
          <w:sz w:val="32"/>
          <w:szCs w:val="32"/>
        </w:rPr>
      </w:pPr>
      <w:r>
        <w:rPr>
          <w:rFonts w:eastAsia="仿宋_GB2312"/>
          <w:kern w:val="0"/>
          <w:sz w:val="32"/>
          <w:szCs w:val="32"/>
        </w:rPr>
        <w:t>中转转运装卸货区宜设置特定区域，并配有与进口高风险非冷链集装箱货物运输车辆对接的特定区域。加强堆场及仓库存放管理，进口高风险非冷链集装箱货物堆码应当按规定单独码放、存放，避免与其他货物混放。定期对货物堆码、存放区域内部环境、货架、作业工具等进行清洁消毒。</w:t>
      </w:r>
    </w:p>
    <w:p>
      <w:pPr>
        <w:spacing w:line="580" w:lineRule="exact"/>
        <w:ind w:firstLine="640" w:firstLineChars="200"/>
        <w:rPr>
          <w:rFonts w:eastAsia="黑体"/>
          <w:kern w:val="0"/>
          <w:sz w:val="32"/>
          <w:szCs w:val="32"/>
        </w:rPr>
      </w:pPr>
      <w:r>
        <w:rPr>
          <w:rFonts w:eastAsia="黑体"/>
          <w:kern w:val="0"/>
          <w:sz w:val="32"/>
          <w:szCs w:val="32"/>
        </w:rPr>
        <w:t>四、装卸、运输过程消毒要求</w:t>
      </w:r>
    </w:p>
    <w:p>
      <w:pPr>
        <w:spacing w:line="580" w:lineRule="exact"/>
        <w:ind w:firstLine="643" w:firstLineChars="200"/>
        <w:rPr>
          <w:rFonts w:eastAsia="楷体"/>
          <w:b/>
          <w:bCs/>
          <w:kern w:val="0"/>
          <w:sz w:val="32"/>
          <w:szCs w:val="32"/>
        </w:rPr>
      </w:pPr>
      <w:r>
        <w:rPr>
          <w:rFonts w:eastAsia="楷体"/>
          <w:b/>
          <w:bCs/>
          <w:kern w:val="0"/>
          <w:sz w:val="32"/>
          <w:szCs w:val="32"/>
        </w:rPr>
        <w:t>（一）人员。</w:t>
      </w:r>
    </w:p>
    <w:p>
      <w:pPr>
        <w:spacing w:line="580" w:lineRule="exact"/>
        <w:ind w:firstLine="640" w:firstLineChars="200"/>
        <w:rPr>
          <w:rFonts w:eastAsia="仿宋_GB2312"/>
          <w:kern w:val="0"/>
          <w:sz w:val="32"/>
          <w:szCs w:val="32"/>
        </w:rPr>
      </w:pPr>
      <w:r>
        <w:rPr>
          <w:rFonts w:eastAsia="仿宋_GB2312"/>
          <w:kern w:val="0"/>
          <w:sz w:val="32"/>
          <w:szCs w:val="32"/>
        </w:rPr>
        <w:t>进口高风险非冷链集装箱货物装卸、运输过程中，作业人员及随行人员应当保持个人手部卫生，应当配备酒精类洗手液、手消毒剂和消毒纸巾，以确保在无清洁水洗手的条件下，对手进行定期消毒。</w:t>
      </w:r>
    </w:p>
    <w:p>
      <w:pPr>
        <w:spacing w:line="580" w:lineRule="exact"/>
        <w:ind w:firstLine="643" w:firstLineChars="200"/>
        <w:rPr>
          <w:rFonts w:eastAsia="楷体"/>
          <w:b/>
          <w:bCs/>
          <w:kern w:val="0"/>
          <w:sz w:val="32"/>
          <w:szCs w:val="32"/>
        </w:rPr>
      </w:pPr>
      <w:r>
        <w:rPr>
          <w:rFonts w:eastAsia="楷体"/>
          <w:b/>
          <w:bCs/>
          <w:kern w:val="0"/>
          <w:sz w:val="32"/>
          <w:szCs w:val="32"/>
        </w:rPr>
        <w:t>（二）运输工具。</w:t>
      </w:r>
    </w:p>
    <w:p>
      <w:pPr>
        <w:spacing w:line="580" w:lineRule="exact"/>
        <w:ind w:firstLine="640" w:firstLineChars="200"/>
        <w:rPr>
          <w:rFonts w:eastAsia="仿宋_GB2312"/>
          <w:kern w:val="0"/>
          <w:sz w:val="32"/>
          <w:szCs w:val="32"/>
        </w:rPr>
      </w:pPr>
      <w:r>
        <w:rPr>
          <w:rFonts w:eastAsia="仿宋_GB2312"/>
          <w:kern w:val="0"/>
          <w:sz w:val="32"/>
          <w:szCs w:val="32"/>
        </w:rPr>
        <w:t>承运单位需确保</w:t>
      </w:r>
      <w:r>
        <w:rPr>
          <w:rFonts w:hint="eastAsia" w:eastAsia="仿宋_GB2312"/>
          <w:kern w:val="0"/>
          <w:sz w:val="32"/>
          <w:szCs w:val="32"/>
        </w:rPr>
        <w:t>运输进口高风险非</w:t>
      </w:r>
      <w:r>
        <w:rPr>
          <w:rFonts w:eastAsia="仿宋_GB2312"/>
          <w:kern w:val="0"/>
          <w:sz w:val="32"/>
          <w:szCs w:val="32"/>
        </w:rPr>
        <w:t>冷链集装箱</w:t>
      </w:r>
      <w:r>
        <w:rPr>
          <w:rFonts w:hint="eastAsia" w:eastAsia="仿宋_GB2312"/>
          <w:kern w:val="0"/>
          <w:sz w:val="32"/>
          <w:szCs w:val="32"/>
        </w:rPr>
        <w:t>货物的</w:t>
      </w:r>
      <w:r>
        <w:rPr>
          <w:rFonts w:eastAsia="仿宋_GB2312"/>
          <w:kern w:val="0"/>
          <w:sz w:val="32"/>
          <w:szCs w:val="32"/>
        </w:rPr>
        <w:t>车辆、船舶、</w:t>
      </w:r>
      <w:r>
        <w:rPr>
          <w:rFonts w:hint="eastAsia" w:eastAsia="仿宋_GB2312"/>
          <w:kern w:val="0"/>
          <w:sz w:val="32"/>
          <w:szCs w:val="32"/>
        </w:rPr>
        <w:t>集装箱</w:t>
      </w:r>
      <w:r>
        <w:rPr>
          <w:rFonts w:eastAsia="仿宋_GB2312"/>
          <w:kern w:val="0"/>
          <w:sz w:val="32"/>
          <w:szCs w:val="32"/>
        </w:rPr>
        <w:t>等运输工具及容器的清洁和定期消毒，重点加强集装箱内壁及门把手等高频接触部位的预防性消毒工作。从事进口高风险非冷链集装箱货物运输的运输工具及容器运载一批货物之前和之后，均要对运输作业人员可能接触的部位进行彻底消毒。承运单位负责组织或委托消毒单位，在装运前后，对装载进口高风险非冷链集装箱货物的车辆船舶等装载运输工具和集装箱内壁组织实施消毒。</w:t>
      </w:r>
    </w:p>
    <w:p>
      <w:pPr>
        <w:spacing w:line="580" w:lineRule="exact"/>
        <w:ind w:firstLine="643" w:firstLineChars="200"/>
        <w:rPr>
          <w:rFonts w:eastAsia="楷体"/>
          <w:b/>
          <w:bCs/>
          <w:kern w:val="0"/>
          <w:sz w:val="32"/>
          <w:szCs w:val="32"/>
        </w:rPr>
      </w:pPr>
      <w:r>
        <w:rPr>
          <w:rFonts w:eastAsia="楷体"/>
          <w:b/>
          <w:bCs/>
          <w:kern w:val="0"/>
          <w:sz w:val="32"/>
          <w:szCs w:val="32"/>
        </w:rPr>
        <w:t>（三）消毒单位。</w:t>
      </w:r>
    </w:p>
    <w:p>
      <w:pPr>
        <w:spacing w:line="580" w:lineRule="exact"/>
        <w:ind w:firstLine="640" w:firstLineChars="200"/>
        <w:rPr>
          <w:rFonts w:eastAsia="仿宋_GB2312"/>
          <w:kern w:val="0"/>
          <w:sz w:val="32"/>
          <w:szCs w:val="32"/>
        </w:rPr>
      </w:pPr>
      <w:r>
        <w:rPr>
          <w:rFonts w:eastAsia="仿宋_GB2312"/>
          <w:kern w:val="0"/>
          <w:sz w:val="32"/>
          <w:szCs w:val="32"/>
        </w:rPr>
        <w:t>消毒单位应按照有关消毒技术规范开展具体的消毒作业，确保消毒效果，出具消毒处理证明，记录消毒工作情况（包括消毒日期、人员、地点、消毒对象及消毒剂名称、浓度、作用时间等内容，相关信息至少留存2年）。</w:t>
      </w:r>
    </w:p>
    <w:p>
      <w:pPr>
        <w:spacing w:line="580" w:lineRule="exact"/>
        <w:ind w:firstLine="640" w:firstLineChars="200"/>
        <w:jc w:val="left"/>
        <w:outlineLvl w:val="1"/>
        <w:rPr>
          <w:rFonts w:eastAsia="黑体"/>
          <w:kern w:val="0"/>
          <w:sz w:val="32"/>
          <w:szCs w:val="32"/>
        </w:rPr>
      </w:pPr>
      <w:r>
        <w:rPr>
          <w:rFonts w:eastAsia="黑体"/>
          <w:kern w:val="0"/>
          <w:sz w:val="32"/>
          <w:szCs w:val="32"/>
        </w:rPr>
        <w:t>（四）工作环境。</w:t>
      </w:r>
    </w:p>
    <w:p>
      <w:pPr>
        <w:spacing w:line="580" w:lineRule="exact"/>
        <w:ind w:firstLine="640" w:firstLineChars="200"/>
        <w:rPr>
          <w:rFonts w:eastAsia="仿宋_GB2312"/>
          <w:kern w:val="0"/>
          <w:sz w:val="32"/>
          <w:szCs w:val="32"/>
        </w:rPr>
      </w:pPr>
      <w:r>
        <w:rPr>
          <w:rFonts w:eastAsia="仿宋_GB2312"/>
          <w:kern w:val="0"/>
          <w:sz w:val="32"/>
          <w:szCs w:val="32"/>
        </w:rPr>
        <w:t>加强工作环境清洁消毒，配合相关单位做好用过的防护用品、生活垃圾等的收集、处置和无害化处理。增加电梯、公共卫生间等公用设备设施和门把手、扶梯扶手等高频接触物体表面的清洁消毒频次。使用过的一次性防护用品应集中收集处置，重复使用的防护用品应统一收集并进行规范消毒处理。作业区域垃圾盛装容器应定期清洁、消毒。接送员工的车辆应每次进行清洁消毒。一旦出现本土疫情，应严格配合执行当地应急处置要求，同时增加宿舍、公共卫生间等小型密闭公共空间的通风换气和清洁消毒频次，每日对公共卫生间至少进行两次全面清洁消毒。</w:t>
      </w:r>
    </w:p>
    <w:p>
      <w:pPr>
        <w:spacing w:line="580" w:lineRule="exact"/>
        <w:ind w:firstLine="640" w:firstLineChars="200"/>
        <w:rPr>
          <w:rFonts w:eastAsia="黑体"/>
          <w:kern w:val="0"/>
          <w:sz w:val="32"/>
          <w:szCs w:val="32"/>
        </w:rPr>
      </w:pPr>
      <w:r>
        <w:rPr>
          <w:rFonts w:eastAsia="黑体"/>
          <w:kern w:val="0"/>
          <w:sz w:val="32"/>
          <w:szCs w:val="32"/>
        </w:rPr>
        <w:t>五、从业人员安全防护要求</w:t>
      </w:r>
    </w:p>
    <w:p>
      <w:pPr>
        <w:spacing w:line="580" w:lineRule="exact"/>
        <w:ind w:firstLine="640" w:firstLineChars="200"/>
        <w:rPr>
          <w:rFonts w:eastAsia="仿宋_GB2312"/>
          <w:kern w:val="0"/>
          <w:sz w:val="32"/>
          <w:szCs w:val="32"/>
        </w:rPr>
      </w:pPr>
      <w:r>
        <w:rPr>
          <w:rFonts w:eastAsia="仿宋_GB2312"/>
          <w:kern w:val="0"/>
          <w:sz w:val="32"/>
          <w:szCs w:val="32"/>
        </w:rPr>
        <w:t>涉及进口高风险非冷链集装箱货物装卸、运输的作业单位应当根据新冠肺炎疫情防控要求，及时调整和更新从业人员健康管理制度，完善新冠病毒防控的管理措施。</w:t>
      </w:r>
    </w:p>
    <w:p>
      <w:pPr>
        <w:spacing w:line="580" w:lineRule="exact"/>
        <w:ind w:firstLine="643" w:firstLineChars="200"/>
        <w:rPr>
          <w:rFonts w:eastAsia="楷体"/>
          <w:kern w:val="0"/>
          <w:sz w:val="32"/>
          <w:szCs w:val="32"/>
        </w:rPr>
      </w:pPr>
      <w:r>
        <w:rPr>
          <w:rFonts w:eastAsia="楷体"/>
          <w:b/>
          <w:bCs/>
          <w:kern w:val="0"/>
          <w:sz w:val="32"/>
          <w:szCs w:val="32"/>
        </w:rPr>
        <w:t>（一）上岗员工健康登记。</w:t>
      </w:r>
    </w:p>
    <w:p>
      <w:pPr>
        <w:spacing w:line="580" w:lineRule="exact"/>
        <w:ind w:firstLine="640" w:firstLineChars="200"/>
        <w:rPr>
          <w:rFonts w:eastAsia="仿宋_GB2312"/>
          <w:kern w:val="0"/>
          <w:sz w:val="32"/>
          <w:szCs w:val="32"/>
        </w:rPr>
      </w:pPr>
      <w:r>
        <w:rPr>
          <w:rFonts w:eastAsia="仿宋_GB2312"/>
          <w:kern w:val="0"/>
          <w:sz w:val="32"/>
          <w:szCs w:val="32"/>
        </w:rPr>
        <w:t>作业单位要做好员工（含一线工作人员、新进人员、临时参加工作人员及保洁员等后勤服务人员）7日内行程及健康状况登记，建立上岗员工健康卡，新入职的员工需出具已接种新冠病毒疫苗证明、48小时以内核酸阴性证明，健康码无异常，掌握员工流动及健康情况。</w:t>
      </w:r>
    </w:p>
    <w:p>
      <w:pPr>
        <w:spacing w:line="580" w:lineRule="exact"/>
        <w:ind w:firstLine="643" w:firstLineChars="200"/>
        <w:rPr>
          <w:rFonts w:eastAsia="楷体"/>
          <w:b/>
          <w:bCs/>
          <w:kern w:val="0"/>
          <w:sz w:val="32"/>
          <w:szCs w:val="32"/>
        </w:rPr>
      </w:pPr>
      <w:r>
        <w:rPr>
          <w:rFonts w:eastAsia="楷体"/>
          <w:b/>
          <w:bCs/>
          <w:kern w:val="0"/>
          <w:sz w:val="32"/>
          <w:szCs w:val="32"/>
        </w:rPr>
        <w:t>（二）员工日常健康监测。</w:t>
      </w:r>
    </w:p>
    <w:p>
      <w:pPr>
        <w:spacing w:line="580" w:lineRule="exact"/>
        <w:ind w:firstLine="640" w:firstLineChars="200"/>
        <w:rPr>
          <w:rFonts w:eastAsia="仿宋_GB2312"/>
          <w:kern w:val="0"/>
          <w:sz w:val="32"/>
          <w:szCs w:val="32"/>
        </w:rPr>
      </w:pPr>
      <w:r>
        <w:rPr>
          <w:rFonts w:eastAsia="仿宋_GB2312"/>
          <w:kern w:val="0"/>
          <w:sz w:val="32"/>
          <w:szCs w:val="32"/>
        </w:rPr>
        <w:t>作业单位应当加强人员出入管理和健康监测，原则上各港口码头、货运场站的作业场所及工作区域入口需配备体温检测设备；建立全体员工健康状况台账和风险接触信息报告制度，设置作业区域入口测温点，落实登记、测温、消毒、查验健康码等防控措施，实行“绿码”上岗制</w:t>
      </w:r>
      <w:r>
        <w:rPr>
          <w:rFonts w:hint="eastAsia" w:eastAsia="仿宋_GB2312"/>
          <w:kern w:val="0"/>
          <w:sz w:val="32"/>
          <w:szCs w:val="32"/>
        </w:rPr>
        <w:t>。</w:t>
      </w:r>
    </w:p>
    <w:p>
      <w:pPr>
        <w:spacing w:line="580" w:lineRule="exact"/>
        <w:ind w:firstLine="643" w:firstLineChars="200"/>
        <w:rPr>
          <w:rFonts w:eastAsia="楷体"/>
          <w:b/>
          <w:bCs/>
          <w:kern w:val="0"/>
          <w:sz w:val="32"/>
          <w:szCs w:val="32"/>
        </w:rPr>
      </w:pPr>
      <w:r>
        <w:rPr>
          <w:rFonts w:eastAsia="楷体"/>
          <w:b/>
          <w:bCs/>
          <w:kern w:val="0"/>
          <w:sz w:val="32"/>
          <w:szCs w:val="32"/>
        </w:rPr>
        <w:t>（三）</w:t>
      </w:r>
      <w:r>
        <w:rPr>
          <w:rFonts w:hint="eastAsia" w:eastAsia="楷体"/>
          <w:b/>
          <w:bCs/>
          <w:kern w:val="0"/>
          <w:sz w:val="32"/>
          <w:szCs w:val="32"/>
        </w:rPr>
        <w:t>高风险岗位人员管理</w:t>
      </w:r>
      <w:r>
        <w:rPr>
          <w:rFonts w:eastAsia="楷体"/>
          <w:b/>
          <w:bCs/>
          <w:kern w:val="0"/>
          <w:sz w:val="32"/>
          <w:szCs w:val="32"/>
        </w:rPr>
        <w:t>。</w:t>
      </w:r>
    </w:p>
    <w:p>
      <w:pPr>
        <w:spacing w:line="580" w:lineRule="exact"/>
        <w:ind w:firstLine="640" w:firstLineChars="200"/>
        <w:rPr>
          <w:rFonts w:eastAsia="楷体"/>
          <w:b/>
          <w:bCs/>
          <w:kern w:val="0"/>
          <w:sz w:val="32"/>
          <w:szCs w:val="32"/>
        </w:rPr>
      </w:pPr>
      <w:r>
        <w:rPr>
          <w:rFonts w:hint="eastAsia" w:eastAsia="仿宋_GB2312"/>
          <w:kern w:val="0"/>
          <w:sz w:val="32"/>
          <w:szCs w:val="32"/>
        </w:rPr>
        <w:t>直接接触进口高风险非冷链集装箱货物的作业人员每天开展一次核酸检测</w:t>
      </w:r>
      <w:r>
        <w:rPr>
          <w:rFonts w:eastAsia="仿宋_GB2312"/>
          <w:kern w:val="0"/>
          <w:sz w:val="32"/>
          <w:szCs w:val="32"/>
        </w:rPr>
        <w:t>，</w:t>
      </w:r>
      <w:r>
        <w:rPr>
          <w:rFonts w:hint="eastAsia" w:eastAsia="仿宋_GB2312"/>
          <w:kern w:val="0"/>
          <w:sz w:val="32"/>
          <w:szCs w:val="32"/>
        </w:rPr>
        <w:t>严格落实闭环管理措施。其他工作人员每周开展两次核酸检测，可根据当地疫情风险，适当扩大重点区域和人员核酸筛查范围。</w:t>
      </w:r>
    </w:p>
    <w:p>
      <w:pPr>
        <w:spacing w:line="580" w:lineRule="exact"/>
        <w:ind w:firstLine="643" w:firstLineChars="200"/>
        <w:rPr>
          <w:rFonts w:eastAsia="楷体"/>
          <w:b/>
          <w:bCs/>
          <w:kern w:val="0"/>
          <w:sz w:val="32"/>
          <w:szCs w:val="32"/>
        </w:rPr>
      </w:pPr>
      <w:r>
        <w:rPr>
          <w:rFonts w:eastAsia="楷体"/>
          <w:b/>
          <w:bCs/>
          <w:kern w:val="0"/>
          <w:sz w:val="32"/>
          <w:szCs w:val="32"/>
        </w:rPr>
        <w:t>（</w:t>
      </w:r>
      <w:r>
        <w:rPr>
          <w:rFonts w:hint="eastAsia" w:eastAsia="楷体"/>
          <w:b/>
          <w:bCs/>
          <w:kern w:val="0"/>
          <w:sz w:val="32"/>
          <w:szCs w:val="32"/>
        </w:rPr>
        <w:t>四</w:t>
      </w:r>
      <w:r>
        <w:rPr>
          <w:rFonts w:eastAsia="楷体"/>
          <w:b/>
          <w:bCs/>
          <w:kern w:val="0"/>
          <w:sz w:val="32"/>
          <w:szCs w:val="32"/>
        </w:rPr>
        <w:t>）外来人员登记与管理。</w:t>
      </w:r>
    </w:p>
    <w:p>
      <w:pPr>
        <w:spacing w:line="580" w:lineRule="exact"/>
        <w:ind w:firstLine="640" w:firstLineChars="200"/>
        <w:rPr>
          <w:rFonts w:eastAsia="仿宋_GB2312"/>
          <w:kern w:val="0"/>
          <w:sz w:val="32"/>
          <w:szCs w:val="32"/>
        </w:rPr>
      </w:pPr>
      <w:r>
        <w:rPr>
          <w:rFonts w:eastAsia="仿宋_GB2312"/>
          <w:kern w:val="0"/>
          <w:sz w:val="32"/>
          <w:szCs w:val="32"/>
        </w:rPr>
        <w:t>尽可能减少外来人员进入生产经营区域，确需进入的，需登记所在单位、健康状况、接触疫情发生地区人员等情况，落实健康码登记、测温等措施并按照要求做好个人防护（如佩戴口罩等），方可允许其进入。车辆进出时，门卫值班员、工作人员和司机应当避免不必要的接触。</w:t>
      </w:r>
    </w:p>
    <w:p>
      <w:pPr>
        <w:spacing w:line="580" w:lineRule="exact"/>
        <w:ind w:firstLine="643" w:firstLineChars="200"/>
        <w:rPr>
          <w:rFonts w:eastAsia="楷体"/>
          <w:b/>
          <w:bCs/>
          <w:kern w:val="0"/>
          <w:sz w:val="32"/>
          <w:szCs w:val="32"/>
        </w:rPr>
      </w:pPr>
      <w:r>
        <w:rPr>
          <w:rFonts w:eastAsia="楷体"/>
          <w:b/>
          <w:bCs/>
          <w:kern w:val="0"/>
          <w:sz w:val="32"/>
          <w:szCs w:val="32"/>
        </w:rPr>
        <w:t>（</w:t>
      </w:r>
      <w:r>
        <w:rPr>
          <w:rFonts w:hint="eastAsia" w:eastAsia="楷体"/>
          <w:b/>
          <w:bCs/>
          <w:kern w:val="0"/>
          <w:sz w:val="32"/>
          <w:szCs w:val="32"/>
        </w:rPr>
        <w:t>五</w:t>
      </w:r>
      <w:r>
        <w:rPr>
          <w:rFonts w:eastAsia="楷体"/>
          <w:b/>
          <w:bCs/>
          <w:kern w:val="0"/>
          <w:sz w:val="32"/>
          <w:szCs w:val="32"/>
        </w:rPr>
        <w:t>）从业人员防护。</w:t>
      </w:r>
    </w:p>
    <w:p>
      <w:pPr>
        <w:spacing w:line="580" w:lineRule="exact"/>
        <w:ind w:firstLine="640" w:firstLineChars="200"/>
        <w:rPr>
          <w:rFonts w:hint="eastAsia" w:eastAsia="仿宋_GB2312"/>
          <w:kern w:val="0"/>
          <w:sz w:val="32"/>
          <w:szCs w:val="32"/>
        </w:rPr>
      </w:pPr>
      <w:r>
        <w:rPr>
          <w:rFonts w:eastAsia="楷体"/>
          <w:kern w:val="0"/>
          <w:sz w:val="32"/>
          <w:szCs w:val="32"/>
        </w:rPr>
        <w:t>1.健康上岗。</w:t>
      </w:r>
      <w:r>
        <w:rPr>
          <w:rFonts w:eastAsia="仿宋_GB2312"/>
          <w:kern w:val="0"/>
          <w:sz w:val="32"/>
          <w:szCs w:val="32"/>
        </w:rPr>
        <w:t>上岗前确保身体状况良好，并向作业单位报告健康状况信息，主动接受体温检测，若出现发热、干咳、乏力、咽痛等症状，立即主动报告，并及时就医。</w:t>
      </w:r>
      <w:r>
        <w:rPr>
          <w:rFonts w:hint="eastAsia" w:eastAsia="仿宋_GB2312"/>
          <w:kern w:val="0"/>
          <w:sz w:val="32"/>
          <w:szCs w:val="32"/>
        </w:rPr>
        <w:t>作业人员要完成新冠病毒疫苗接种，原则上要完成同源或序贯加强免疫接种。</w:t>
      </w:r>
    </w:p>
    <w:p>
      <w:pPr>
        <w:spacing w:line="580" w:lineRule="exact"/>
        <w:ind w:firstLine="640" w:firstLineChars="200"/>
        <w:rPr>
          <w:rFonts w:eastAsia="仿宋_GB2312"/>
          <w:kern w:val="0"/>
          <w:sz w:val="32"/>
          <w:szCs w:val="32"/>
        </w:rPr>
      </w:pPr>
      <w:r>
        <w:rPr>
          <w:rFonts w:eastAsia="楷体"/>
          <w:kern w:val="0"/>
          <w:sz w:val="32"/>
          <w:szCs w:val="32"/>
        </w:rPr>
        <w:t>2.做好个人防护。</w:t>
      </w:r>
      <w:r>
        <w:rPr>
          <w:rFonts w:eastAsia="仿宋_GB2312"/>
          <w:kern w:val="0"/>
          <w:sz w:val="32"/>
          <w:szCs w:val="32"/>
        </w:rPr>
        <w:t>作业单位要配备必要的个人防护、消毒用品和装备，按照最新版《船舶船员新冠肺炎疫情防控操作指南》《新冠肺炎疫情防控期间针对患病海员紧急救助处置指南》《港口及其一线人员新冠肺炎疫情防控工作指南》《道路货运车辆、从业人员及场站新冠肺炎疫情防控工作指南》等要求，进一步加强对船代等登轮人员、港口作业人员以及司机、装卸工、船员、引航员等一线工作人员的个人防护，防止感染风险。作业单位要督促指导作业人员工作期间正确佩戴口罩、手套和着工作服上岗。工作服保持干净整洁，定期清洗，必要时消毒。直接接触进口高风险非冷链集装箱货物的一线工作人员，应全程佩戴口罩、防护手套等防护用品，至少应上下岗前各测量一次体温。其中，道路货运企业应按照《道路货运车辆、从业人员及场站新冠肺炎疫情防控工作指南》有关高风险区域的规定执行。</w:t>
      </w:r>
    </w:p>
    <w:p>
      <w:pPr>
        <w:spacing w:line="580" w:lineRule="exact"/>
        <w:ind w:firstLine="640" w:firstLineChars="200"/>
        <w:rPr>
          <w:rFonts w:eastAsia="仿宋_GB2312"/>
          <w:kern w:val="0"/>
          <w:sz w:val="32"/>
          <w:szCs w:val="32"/>
        </w:rPr>
      </w:pPr>
      <w:r>
        <w:rPr>
          <w:rFonts w:eastAsia="仿宋_GB2312"/>
          <w:kern w:val="0"/>
          <w:sz w:val="32"/>
          <w:szCs w:val="32"/>
        </w:rPr>
        <w:t>非冷链集装箱物流企业要在当地卫生健康部门的指导下，加强对本单位直接接触进口高风险非冷链集装箱货物、集装箱拆箱作业人员、与国际航行船舶上船员近距离接触的船代等登轮人员、引航员等高风险岗位人员正确佩戴口罩、手套和工作服进行专业培训，并定期进行检查，确保关键防护措施到位。同时，按照卫健部门有关规定，工作结束后，对工作服、一次性用具进行消毒处理。</w:t>
      </w:r>
    </w:p>
    <w:p>
      <w:pPr>
        <w:spacing w:line="580" w:lineRule="exact"/>
        <w:ind w:firstLine="640" w:firstLineChars="200"/>
        <w:rPr>
          <w:rFonts w:eastAsia="仿宋_GB2312"/>
          <w:kern w:val="0"/>
          <w:sz w:val="32"/>
          <w:szCs w:val="32"/>
        </w:rPr>
      </w:pPr>
      <w:r>
        <w:rPr>
          <w:rFonts w:eastAsia="楷体"/>
          <w:kern w:val="0"/>
          <w:sz w:val="32"/>
          <w:szCs w:val="32"/>
        </w:rPr>
        <w:t>3.注意个人卫生。</w:t>
      </w:r>
      <w:r>
        <w:rPr>
          <w:rFonts w:eastAsia="仿宋_GB2312"/>
          <w:kern w:val="0"/>
          <w:sz w:val="32"/>
          <w:szCs w:val="32"/>
        </w:rPr>
        <w:t>打喷嚏、咳嗽时用纸巾遮住口鼻或采用肘臂遮挡。不随地吐痰，擤鼻涕时注意卫生。尽量避免用手触摸口、眼、鼻。</w:t>
      </w:r>
    </w:p>
    <w:p>
      <w:pPr>
        <w:spacing w:line="580" w:lineRule="exact"/>
        <w:ind w:firstLine="640" w:firstLineChars="200"/>
        <w:rPr>
          <w:rFonts w:eastAsia="仿宋_GB2312"/>
          <w:kern w:val="0"/>
          <w:sz w:val="32"/>
          <w:szCs w:val="32"/>
        </w:rPr>
      </w:pPr>
      <w:r>
        <w:rPr>
          <w:rFonts w:eastAsia="楷体"/>
          <w:kern w:val="0"/>
          <w:sz w:val="32"/>
          <w:szCs w:val="32"/>
        </w:rPr>
        <w:t>4.加强手卫生。</w:t>
      </w:r>
      <w:r>
        <w:rPr>
          <w:rFonts w:eastAsia="仿宋_GB2312"/>
          <w:kern w:val="0"/>
          <w:sz w:val="32"/>
          <w:szCs w:val="32"/>
        </w:rPr>
        <w:t>在处理货品时或双手触碰过货架、扶手等公用物体时，要及时用洗手液或肥皂在流动水下洗手，或用速干手消毒剂揉搓双手。</w:t>
      </w:r>
    </w:p>
    <w:p>
      <w:pPr>
        <w:spacing w:line="580" w:lineRule="exact"/>
        <w:ind w:firstLine="643" w:firstLineChars="200"/>
        <w:rPr>
          <w:rFonts w:eastAsia="楷体"/>
          <w:b/>
          <w:bCs/>
          <w:kern w:val="0"/>
          <w:sz w:val="32"/>
          <w:szCs w:val="32"/>
        </w:rPr>
      </w:pPr>
      <w:r>
        <w:rPr>
          <w:rFonts w:eastAsia="楷体"/>
          <w:b/>
          <w:bCs/>
          <w:kern w:val="0"/>
          <w:sz w:val="32"/>
          <w:szCs w:val="32"/>
        </w:rPr>
        <w:t>（</w:t>
      </w:r>
      <w:r>
        <w:rPr>
          <w:rFonts w:hint="eastAsia" w:eastAsia="楷体"/>
          <w:b/>
          <w:bCs/>
          <w:kern w:val="0"/>
          <w:sz w:val="32"/>
          <w:szCs w:val="32"/>
        </w:rPr>
        <w:t>六</w:t>
      </w:r>
      <w:r>
        <w:rPr>
          <w:rFonts w:eastAsia="楷体"/>
          <w:b/>
          <w:bCs/>
          <w:kern w:val="0"/>
          <w:sz w:val="32"/>
          <w:szCs w:val="32"/>
        </w:rPr>
        <w:t>）健康异常报告程序。</w:t>
      </w:r>
    </w:p>
    <w:p>
      <w:pPr>
        <w:spacing w:line="580" w:lineRule="exact"/>
        <w:ind w:firstLine="640" w:firstLineChars="200"/>
        <w:rPr>
          <w:rFonts w:eastAsia="仿宋_GB2312"/>
          <w:kern w:val="0"/>
          <w:sz w:val="32"/>
          <w:szCs w:val="32"/>
        </w:rPr>
      </w:pPr>
      <w:r>
        <w:rPr>
          <w:rFonts w:eastAsia="仿宋_GB2312"/>
          <w:kern w:val="0"/>
          <w:sz w:val="32"/>
          <w:szCs w:val="32"/>
        </w:rPr>
        <w:t>员工一旦发现自身以及共同生活人员出现发热、干咳、乏力、咽痛等疑似症状，应当及时上报作业单位的主要负责人，可视情况采用逐级上报或直报的方式报告企业主要负责人。作业单位一旦发现员工出现上述健康异常症状，无论其呈现出的健康状况如何，均应当采取有效措施将其及与其密切接触的员工迅速排除在工作环境之外。新冠肺炎传播风险高的地区，建议根据当地主管部门防控规定，要求健康员工进行“零”报告。</w:t>
      </w:r>
    </w:p>
    <w:p>
      <w:pPr>
        <w:spacing w:line="580" w:lineRule="exact"/>
        <w:ind w:firstLine="643" w:firstLineChars="200"/>
        <w:rPr>
          <w:rFonts w:eastAsia="楷体"/>
          <w:b/>
          <w:bCs/>
          <w:kern w:val="0"/>
          <w:sz w:val="32"/>
          <w:szCs w:val="32"/>
        </w:rPr>
      </w:pPr>
      <w:r>
        <w:rPr>
          <w:rFonts w:eastAsia="楷体"/>
          <w:b/>
          <w:bCs/>
          <w:kern w:val="0"/>
          <w:sz w:val="32"/>
          <w:szCs w:val="32"/>
        </w:rPr>
        <w:t>（</w:t>
      </w:r>
      <w:r>
        <w:rPr>
          <w:rFonts w:hint="eastAsia" w:eastAsia="楷体"/>
          <w:b/>
          <w:bCs/>
          <w:kern w:val="0"/>
          <w:sz w:val="32"/>
          <w:szCs w:val="32"/>
        </w:rPr>
        <w:t>七</w:t>
      </w:r>
      <w:r>
        <w:rPr>
          <w:rFonts w:eastAsia="楷体"/>
          <w:b/>
          <w:bCs/>
          <w:kern w:val="0"/>
          <w:sz w:val="32"/>
          <w:szCs w:val="32"/>
        </w:rPr>
        <w:t>）从业人员返岗程序。</w:t>
      </w:r>
    </w:p>
    <w:p>
      <w:pPr>
        <w:spacing w:line="580" w:lineRule="exact"/>
        <w:ind w:firstLine="640" w:firstLineChars="200"/>
        <w:rPr>
          <w:rFonts w:eastAsia="仿宋_GB2312"/>
          <w:kern w:val="0"/>
          <w:sz w:val="32"/>
          <w:szCs w:val="32"/>
        </w:rPr>
      </w:pPr>
      <w:r>
        <w:rPr>
          <w:rFonts w:eastAsia="仿宋_GB2312"/>
          <w:kern w:val="0"/>
          <w:sz w:val="32"/>
          <w:szCs w:val="32"/>
        </w:rPr>
        <w:t>根据作业区域上岗人员登记和健康档案，及时追踪健康异常、身体不适、疑似或者已感染新冠病毒（患者或无症状感染者）员工的治疗和康复状况，在其康复后科学评定是否符合返岗条件</w:t>
      </w:r>
      <w:r>
        <w:rPr>
          <w:rFonts w:hint="eastAsia" w:eastAsia="仿宋_GB2312"/>
          <w:kern w:val="0"/>
          <w:sz w:val="32"/>
          <w:szCs w:val="32"/>
        </w:rPr>
        <w:t>。对感染新冠病毒（确诊者或无症状感染者）的员工及其密切接触者，严格执行当地疫情防控领导机构和卫生健康部门的有关诊疗、隔离、健康监测等要求，确保达到上岗条件后方可返岗。</w:t>
      </w:r>
    </w:p>
    <w:p>
      <w:pPr>
        <w:spacing w:line="580" w:lineRule="exact"/>
        <w:ind w:firstLine="643" w:firstLineChars="200"/>
        <w:rPr>
          <w:rFonts w:eastAsia="楷体"/>
          <w:b/>
          <w:bCs/>
          <w:kern w:val="0"/>
          <w:sz w:val="32"/>
          <w:szCs w:val="32"/>
        </w:rPr>
      </w:pPr>
      <w:r>
        <w:rPr>
          <w:rFonts w:eastAsia="楷体"/>
          <w:b/>
          <w:bCs/>
          <w:kern w:val="0"/>
          <w:sz w:val="32"/>
          <w:szCs w:val="32"/>
        </w:rPr>
        <w:t>（</w:t>
      </w:r>
      <w:r>
        <w:rPr>
          <w:rFonts w:hint="eastAsia" w:eastAsia="楷体"/>
          <w:b/>
          <w:bCs/>
          <w:kern w:val="0"/>
          <w:sz w:val="32"/>
          <w:szCs w:val="32"/>
        </w:rPr>
        <w:t>八</w:t>
      </w:r>
      <w:r>
        <w:rPr>
          <w:rFonts w:eastAsia="楷体"/>
          <w:b/>
          <w:bCs/>
          <w:kern w:val="0"/>
          <w:sz w:val="32"/>
          <w:szCs w:val="32"/>
        </w:rPr>
        <w:t>）加强防控知识宣传。</w:t>
      </w:r>
    </w:p>
    <w:p>
      <w:pPr>
        <w:spacing w:line="580" w:lineRule="exact"/>
        <w:ind w:firstLine="640" w:firstLineChars="200"/>
        <w:rPr>
          <w:rFonts w:eastAsia="仿宋_GB2312"/>
          <w:kern w:val="0"/>
          <w:sz w:val="32"/>
          <w:szCs w:val="32"/>
        </w:rPr>
      </w:pPr>
      <w:r>
        <w:rPr>
          <w:rFonts w:eastAsia="仿宋_GB2312"/>
          <w:kern w:val="0"/>
          <w:sz w:val="32"/>
          <w:szCs w:val="32"/>
        </w:rPr>
        <w:t>通过海报、电子屏和宣传栏等形式开展健康宣教，引导从业人员掌握新冠肺炎和其他呼吸道传染病防治相关知识和技能，养成良好卫生习惯，加强自我防护意识，掌握相关防护技能。</w:t>
      </w:r>
    </w:p>
    <w:p>
      <w:pPr>
        <w:spacing w:line="580" w:lineRule="exact"/>
        <w:ind w:firstLine="640" w:firstLineChars="200"/>
        <w:rPr>
          <w:rFonts w:eastAsia="黑体"/>
          <w:kern w:val="0"/>
          <w:sz w:val="32"/>
          <w:szCs w:val="32"/>
        </w:rPr>
      </w:pPr>
      <w:r>
        <w:rPr>
          <w:rFonts w:eastAsia="黑体"/>
          <w:kern w:val="0"/>
          <w:sz w:val="32"/>
          <w:szCs w:val="32"/>
        </w:rPr>
        <w:t>六、应急处置要求</w:t>
      </w:r>
    </w:p>
    <w:p>
      <w:pPr>
        <w:spacing w:line="580" w:lineRule="exact"/>
        <w:ind w:firstLine="640" w:firstLineChars="200"/>
        <w:rPr>
          <w:rFonts w:eastAsia="仿宋_GB2312"/>
          <w:kern w:val="0"/>
          <w:sz w:val="32"/>
          <w:szCs w:val="32"/>
        </w:rPr>
      </w:pPr>
      <w:r>
        <w:rPr>
          <w:rFonts w:eastAsia="仿宋_GB2312"/>
          <w:kern w:val="0"/>
          <w:sz w:val="32"/>
          <w:szCs w:val="32"/>
        </w:rPr>
        <w:t>作业单位应当制定新冠肺炎疫情应急处置方案，开展应急演练，以备及时处置和报告疫情情况，有效预防新冠病毒的传播。</w:t>
      </w:r>
    </w:p>
    <w:p>
      <w:pPr>
        <w:spacing w:line="580" w:lineRule="exact"/>
        <w:ind w:firstLine="643" w:firstLineChars="200"/>
        <w:rPr>
          <w:rFonts w:eastAsia="楷体"/>
          <w:b/>
          <w:bCs/>
          <w:kern w:val="0"/>
          <w:sz w:val="32"/>
          <w:szCs w:val="32"/>
        </w:rPr>
      </w:pPr>
      <w:r>
        <w:rPr>
          <w:rFonts w:eastAsia="楷体"/>
          <w:b/>
          <w:bCs/>
          <w:kern w:val="0"/>
          <w:sz w:val="32"/>
          <w:szCs w:val="32"/>
        </w:rPr>
        <w:t>（一）出现健康状况异常人员的应急处置。</w:t>
      </w:r>
    </w:p>
    <w:p>
      <w:pPr>
        <w:spacing w:line="580" w:lineRule="exact"/>
        <w:ind w:firstLine="640" w:firstLineChars="200"/>
        <w:rPr>
          <w:rFonts w:eastAsia="仿宋_GB2312"/>
          <w:kern w:val="0"/>
          <w:sz w:val="32"/>
          <w:szCs w:val="32"/>
        </w:rPr>
      </w:pPr>
      <w:r>
        <w:rPr>
          <w:rFonts w:eastAsia="仿宋_GB2312"/>
          <w:kern w:val="0"/>
          <w:sz w:val="32"/>
          <w:szCs w:val="32"/>
        </w:rPr>
        <w:t>进口高风险非冷链集装箱货物相关作业区域一旦发现病例或疑似新冠肺炎的异常状况人员，必须实施内防扩散、外防输出的防控措施，配合有关部门开展流行病学调查、密切接触者追踪管理、疫点消毒等工作，并对该人员作业和出现的区域及其货物进行采样和核酸检测。在当地疾控机构的指导下，对场所进行终末消毒，对空调通风系统进行消毒和清洗处理，经卫生学评价合格后方可重新启用。</w:t>
      </w:r>
    </w:p>
    <w:p>
      <w:pPr>
        <w:spacing w:line="580" w:lineRule="exact"/>
        <w:ind w:firstLine="640" w:firstLineChars="200"/>
        <w:rPr>
          <w:rFonts w:eastAsia="仿宋_GB2312"/>
          <w:kern w:val="0"/>
          <w:sz w:val="32"/>
          <w:szCs w:val="32"/>
        </w:rPr>
      </w:pPr>
      <w:r>
        <w:rPr>
          <w:rFonts w:eastAsia="仿宋_GB2312"/>
          <w:kern w:val="0"/>
          <w:sz w:val="32"/>
          <w:szCs w:val="32"/>
        </w:rPr>
        <w:t>按照新冠肺炎疫情防控要求，做好切断传播途径、隔离密切接触者等措施，同时按规定处置污染物。</w:t>
      </w:r>
    </w:p>
    <w:p>
      <w:pPr>
        <w:spacing w:line="580" w:lineRule="exact"/>
        <w:ind w:firstLine="643" w:firstLineChars="200"/>
        <w:rPr>
          <w:rFonts w:eastAsia="楷体"/>
          <w:b/>
          <w:bCs/>
          <w:kern w:val="0"/>
          <w:sz w:val="32"/>
          <w:szCs w:val="32"/>
        </w:rPr>
      </w:pPr>
      <w:r>
        <w:rPr>
          <w:rFonts w:eastAsia="楷体"/>
          <w:b/>
          <w:bCs/>
          <w:kern w:val="0"/>
          <w:sz w:val="32"/>
          <w:szCs w:val="32"/>
        </w:rPr>
        <w:t>（二）发现样品核酸检测阳性的应急处置。</w:t>
      </w:r>
    </w:p>
    <w:p>
      <w:pPr>
        <w:spacing w:line="580" w:lineRule="exact"/>
        <w:ind w:firstLine="640" w:firstLineChars="200"/>
        <w:rPr>
          <w:rFonts w:eastAsia="仿宋_GB2312"/>
          <w:kern w:val="0"/>
          <w:sz w:val="32"/>
          <w:szCs w:val="32"/>
        </w:rPr>
      </w:pPr>
      <w:r>
        <w:rPr>
          <w:rFonts w:eastAsia="仿宋_GB2312"/>
          <w:kern w:val="0"/>
          <w:sz w:val="32"/>
          <w:szCs w:val="32"/>
        </w:rPr>
        <w:t>一旦发现核酸检测阳性物品或接到有新冠病毒核酸检测阳性样品的通知，作业单位应当迅速启动本单位应急预案，按当地联防联控机制要求，在专业人员指导下进行处置。</w:t>
      </w:r>
    </w:p>
    <w:p>
      <w:pPr>
        <w:spacing w:line="580" w:lineRule="exact"/>
        <w:ind w:firstLine="640" w:firstLineChars="200"/>
        <w:rPr>
          <w:rFonts w:eastAsia="黑体"/>
          <w:kern w:val="0"/>
          <w:sz w:val="32"/>
          <w:szCs w:val="32"/>
        </w:rPr>
      </w:pPr>
      <w:r>
        <w:rPr>
          <w:rFonts w:eastAsia="黑体"/>
          <w:kern w:val="0"/>
          <w:sz w:val="32"/>
          <w:szCs w:val="32"/>
        </w:rPr>
        <w:t>七、装卸运输常用消毒剂及使用方法</w:t>
      </w:r>
    </w:p>
    <w:p>
      <w:pPr>
        <w:spacing w:line="580" w:lineRule="exact"/>
        <w:ind w:firstLine="640" w:firstLineChars="200"/>
        <w:rPr>
          <w:rFonts w:eastAsia="仿宋_GB2312"/>
          <w:kern w:val="0"/>
          <w:sz w:val="32"/>
          <w:szCs w:val="32"/>
        </w:rPr>
      </w:pPr>
      <w:r>
        <w:rPr>
          <w:rFonts w:eastAsia="仿宋_GB2312"/>
          <w:kern w:val="0"/>
          <w:sz w:val="32"/>
          <w:szCs w:val="32"/>
        </w:rPr>
        <w:t>进口高风险非冷链集装箱货物等装卸、运输过程中常用的消毒剂及使用方法见附表。</w:t>
      </w:r>
    </w:p>
    <w:p>
      <w:pPr>
        <w:spacing w:line="580" w:lineRule="exact"/>
        <w:ind w:firstLine="640" w:firstLineChars="200"/>
        <w:rPr>
          <w:rFonts w:eastAsia="黑体"/>
          <w:kern w:val="0"/>
          <w:sz w:val="32"/>
          <w:szCs w:val="32"/>
        </w:rPr>
      </w:pPr>
      <w:r>
        <w:rPr>
          <w:rFonts w:eastAsia="黑体"/>
          <w:kern w:val="0"/>
          <w:sz w:val="32"/>
          <w:szCs w:val="32"/>
        </w:rPr>
        <w:t>八、退出机制</w:t>
      </w:r>
    </w:p>
    <w:p>
      <w:pPr>
        <w:spacing w:line="580" w:lineRule="exact"/>
        <w:ind w:firstLine="640" w:firstLineChars="200"/>
        <w:rPr>
          <w:rFonts w:eastAsia="仿宋_GB2312"/>
          <w:kern w:val="0"/>
          <w:sz w:val="32"/>
          <w:szCs w:val="32"/>
        </w:rPr>
      </w:pPr>
      <w:r>
        <w:rPr>
          <w:rFonts w:eastAsia="仿宋_GB2312"/>
          <w:kern w:val="0"/>
          <w:sz w:val="32"/>
          <w:szCs w:val="32"/>
        </w:rPr>
        <w:t>交通运输部将按照国务院应对新型冠状病毒肺炎疫情联防联控机制要求，结合疫情发展态势，视情调整有关政策措施。</w:t>
      </w:r>
    </w:p>
    <w:p>
      <w:pPr>
        <w:spacing w:line="580" w:lineRule="exact"/>
        <w:ind w:firstLine="640" w:firstLineChars="200"/>
        <w:rPr>
          <w:rFonts w:eastAsia="黑体"/>
          <w:kern w:val="0"/>
          <w:sz w:val="32"/>
          <w:szCs w:val="32"/>
        </w:rPr>
      </w:pPr>
      <w:r>
        <w:rPr>
          <w:rFonts w:eastAsia="黑体"/>
          <w:kern w:val="0"/>
          <w:sz w:val="32"/>
          <w:szCs w:val="32"/>
        </w:rPr>
        <w:t>九、其他</w:t>
      </w:r>
    </w:p>
    <w:p>
      <w:pPr>
        <w:spacing w:line="580" w:lineRule="exact"/>
        <w:ind w:firstLine="640" w:firstLineChars="200"/>
        <w:rPr>
          <w:rFonts w:eastAsia="仿宋_GB2312"/>
          <w:bCs/>
          <w:kern w:val="0"/>
          <w:sz w:val="32"/>
          <w:szCs w:val="32"/>
        </w:rPr>
      </w:pPr>
      <w:r>
        <w:rPr>
          <w:rFonts w:eastAsia="仿宋_GB2312"/>
          <w:kern w:val="0"/>
          <w:sz w:val="32"/>
          <w:szCs w:val="32"/>
        </w:rPr>
        <w:t>各地交通运输主管部门要加强组织和协调，配合相关部门做好公路、水路装载进口货物的货舱、货柜、车厢、集装箱等内壁和把手采集环境样本开展核酸检测，根据检测情况开展主动预防性消毒。一旦发现新冠病毒核酸检测阳性，对这些运输工具装载的货物及相关装卸人员、驾驶员等进行追溯检测。</w:t>
      </w:r>
    </w:p>
    <w:p>
      <w:pPr>
        <w:widowControl/>
        <w:jc w:val="left"/>
        <w:rPr>
          <w:rFonts w:eastAsia="仿宋_GB2312"/>
          <w:b/>
          <w:bCs/>
          <w:kern w:val="0"/>
          <w:sz w:val="32"/>
          <w:szCs w:val="32"/>
        </w:rPr>
        <w:sectPr>
          <w:footerReference r:id="rId3" w:type="default"/>
          <w:pgSz w:w="11906" w:h="16838"/>
          <w:pgMar w:top="1701" w:right="1361" w:bottom="1474" w:left="1474" w:header="851" w:footer="992" w:gutter="0"/>
          <w:pgNumType w:fmt="numberInDash" w:start="2"/>
          <w:cols w:space="720" w:num="1"/>
          <w:docGrid w:type="lines" w:linePitch="312" w:charSpace="0"/>
        </w:sectPr>
      </w:pPr>
    </w:p>
    <w:p>
      <w:pPr>
        <w:widowControl/>
        <w:spacing w:line="580" w:lineRule="exact"/>
        <w:rPr>
          <w:rFonts w:eastAsia="黑体"/>
          <w:kern w:val="0"/>
          <w:sz w:val="32"/>
          <w:szCs w:val="32"/>
        </w:rPr>
      </w:pPr>
      <w:r>
        <w:rPr>
          <w:rFonts w:eastAsia="黑体"/>
          <w:kern w:val="0"/>
          <w:sz w:val="32"/>
          <w:szCs w:val="32"/>
        </w:rPr>
        <w:t>附表</w:t>
      </w:r>
    </w:p>
    <w:p>
      <w:pPr>
        <w:widowControl/>
        <w:spacing w:line="580" w:lineRule="exact"/>
        <w:jc w:val="center"/>
        <w:rPr>
          <w:rFonts w:eastAsia="方正小标宋_GBK"/>
          <w:kern w:val="0"/>
          <w:sz w:val="44"/>
          <w:szCs w:val="44"/>
        </w:rPr>
      </w:pPr>
      <w:r>
        <w:rPr>
          <w:rFonts w:eastAsia="方正小标宋_GBK"/>
          <w:kern w:val="0"/>
          <w:sz w:val="44"/>
          <w:szCs w:val="44"/>
        </w:rPr>
        <w:t>装卸、运输常用消毒剂及使用方法</w:t>
      </w:r>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87"/>
        <w:gridCol w:w="1538"/>
        <w:gridCol w:w="326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shd w:val="clear" w:color="auto" w:fill="auto"/>
            <w:noWrap w:val="0"/>
            <w:vAlign w:val="center"/>
          </w:tcPr>
          <w:p>
            <w:pPr>
              <w:widowControl/>
              <w:jc w:val="center"/>
              <w:rPr>
                <w:rFonts w:eastAsia="仿宋_GB2312"/>
                <w:b/>
                <w:bCs/>
                <w:kern w:val="0"/>
                <w:sz w:val="24"/>
                <w:szCs w:val="24"/>
              </w:rPr>
            </w:pPr>
            <w:r>
              <w:rPr>
                <w:rFonts w:eastAsia="仿宋_GB2312"/>
                <w:b/>
                <w:bCs/>
                <w:kern w:val="0"/>
                <w:sz w:val="24"/>
                <w:szCs w:val="24"/>
              </w:rPr>
              <w:t>消毒剂</w:t>
            </w:r>
          </w:p>
          <w:p>
            <w:pPr>
              <w:widowControl/>
              <w:jc w:val="center"/>
              <w:rPr>
                <w:rFonts w:eastAsia="仿宋_GB2312"/>
                <w:b/>
                <w:bCs/>
                <w:kern w:val="0"/>
                <w:sz w:val="24"/>
                <w:szCs w:val="24"/>
              </w:rPr>
            </w:pPr>
            <w:r>
              <w:rPr>
                <w:rFonts w:eastAsia="仿宋_GB2312"/>
                <w:b/>
                <w:bCs/>
                <w:kern w:val="0"/>
                <w:sz w:val="24"/>
                <w:szCs w:val="24"/>
              </w:rPr>
              <w:t>种类</w:t>
            </w:r>
          </w:p>
        </w:tc>
        <w:tc>
          <w:tcPr>
            <w:tcW w:w="1587" w:type="dxa"/>
            <w:shd w:val="clear" w:color="auto" w:fill="auto"/>
            <w:noWrap w:val="0"/>
            <w:vAlign w:val="center"/>
          </w:tcPr>
          <w:p>
            <w:pPr>
              <w:widowControl/>
              <w:jc w:val="center"/>
              <w:rPr>
                <w:rFonts w:eastAsia="仿宋_GB2312"/>
                <w:b/>
                <w:bCs/>
                <w:kern w:val="0"/>
                <w:sz w:val="24"/>
                <w:szCs w:val="24"/>
              </w:rPr>
            </w:pPr>
            <w:r>
              <w:rPr>
                <w:rFonts w:eastAsia="仿宋_GB2312"/>
                <w:b/>
                <w:bCs/>
                <w:kern w:val="0"/>
                <w:sz w:val="24"/>
                <w:szCs w:val="24"/>
              </w:rPr>
              <w:t>有效成分</w:t>
            </w:r>
          </w:p>
        </w:tc>
        <w:tc>
          <w:tcPr>
            <w:tcW w:w="1538" w:type="dxa"/>
            <w:shd w:val="clear" w:color="auto" w:fill="auto"/>
            <w:noWrap w:val="0"/>
            <w:vAlign w:val="center"/>
          </w:tcPr>
          <w:p>
            <w:pPr>
              <w:widowControl/>
              <w:jc w:val="center"/>
              <w:rPr>
                <w:rFonts w:eastAsia="仿宋_GB2312"/>
                <w:b/>
                <w:bCs/>
                <w:kern w:val="0"/>
                <w:sz w:val="24"/>
                <w:szCs w:val="24"/>
              </w:rPr>
            </w:pPr>
            <w:r>
              <w:rPr>
                <w:rFonts w:eastAsia="仿宋_GB2312"/>
                <w:b/>
                <w:bCs/>
                <w:kern w:val="0"/>
                <w:sz w:val="24"/>
                <w:szCs w:val="24"/>
              </w:rPr>
              <w:t>应用范围</w:t>
            </w:r>
          </w:p>
        </w:tc>
        <w:tc>
          <w:tcPr>
            <w:tcW w:w="3262" w:type="dxa"/>
            <w:shd w:val="clear" w:color="auto" w:fill="auto"/>
            <w:noWrap w:val="0"/>
            <w:vAlign w:val="center"/>
          </w:tcPr>
          <w:p>
            <w:pPr>
              <w:widowControl/>
              <w:jc w:val="center"/>
              <w:rPr>
                <w:rFonts w:eastAsia="仿宋_GB2312"/>
                <w:b/>
                <w:bCs/>
                <w:kern w:val="0"/>
                <w:sz w:val="24"/>
                <w:szCs w:val="24"/>
              </w:rPr>
            </w:pPr>
            <w:r>
              <w:rPr>
                <w:rFonts w:eastAsia="仿宋_GB2312"/>
                <w:b/>
                <w:bCs/>
                <w:kern w:val="0"/>
                <w:sz w:val="24"/>
                <w:szCs w:val="24"/>
              </w:rPr>
              <w:t>使用方法</w:t>
            </w:r>
          </w:p>
        </w:tc>
        <w:tc>
          <w:tcPr>
            <w:tcW w:w="1800" w:type="dxa"/>
            <w:shd w:val="clear" w:color="auto" w:fill="auto"/>
            <w:noWrap w:val="0"/>
            <w:vAlign w:val="center"/>
          </w:tcPr>
          <w:p>
            <w:pPr>
              <w:widowControl/>
              <w:jc w:val="center"/>
              <w:rPr>
                <w:rFonts w:eastAsia="仿宋_GB2312"/>
                <w:b/>
                <w:bCs/>
                <w:kern w:val="0"/>
                <w:sz w:val="24"/>
                <w:szCs w:val="24"/>
              </w:rPr>
            </w:pPr>
            <w:r>
              <w:rPr>
                <w:rFonts w:eastAsia="仿宋_GB2312"/>
                <w:b/>
                <w:bCs/>
                <w:kern w:val="0"/>
                <w:sz w:val="24"/>
                <w:szCs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936" w:type="dxa"/>
            <w:shd w:val="clear" w:color="auto" w:fill="auto"/>
            <w:noWrap w:val="0"/>
            <w:vAlign w:val="center"/>
          </w:tcPr>
          <w:p>
            <w:pPr>
              <w:widowControl/>
              <w:jc w:val="center"/>
              <w:rPr>
                <w:rFonts w:eastAsia="仿宋_GB2312"/>
                <w:kern w:val="0"/>
                <w:sz w:val="24"/>
                <w:szCs w:val="24"/>
              </w:rPr>
            </w:pPr>
            <w:r>
              <w:rPr>
                <w:rFonts w:eastAsia="仿宋_GB2312"/>
                <w:kern w:val="0"/>
                <w:sz w:val="24"/>
                <w:szCs w:val="24"/>
              </w:rPr>
              <w:t>醇类</w:t>
            </w:r>
          </w:p>
          <w:p>
            <w:pPr>
              <w:widowControl/>
              <w:jc w:val="center"/>
              <w:rPr>
                <w:rFonts w:eastAsia="仿宋_GB2312"/>
                <w:kern w:val="0"/>
                <w:sz w:val="24"/>
                <w:szCs w:val="24"/>
              </w:rPr>
            </w:pPr>
            <w:r>
              <w:rPr>
                <w:rFonts w:eastAsia="仿宋_GB2312"/>
                <w:kern w:val="0"/>
                <w:sz w:val="24"/>
                <w:szCs w:val="24"/>
              </w:rPr>
              <w:t>消毒剂</w:t>
            </w:r>
          </w:p>
        </w:tc>
        <w:tc>
          <w:tcPr>
            <w:tcW w:w="1587" w:type="dxa"/>
            <w:shd w:val="clear" w:color="auto" w:fill="auto"/>
            <w:noWrap w:val="0"/>
            <w:vAlign w:val="center"/>
          </w:tcPr>
          <w:p>
            <w:pPr>
              <w:widowControl/>
              <w:jc w:val="center"/>
              <w:rPr>
                <w:rFonts w:eastAsia="仿宋_GB2312"/>
                <w:kern w:val="0"/>
                <w:sz w:val="24"/>
                <w:szCs w:val="24"/>
              </w:rPr>
            </w:pPr>
            <w:r>
              <w:rPr>
                <w:rFonts w:eastAsia="仿宋_GB2312"/>
                <w:kern w:val="0"/>
                <w:sz w:val="24"/>
                <w:szCs w:val="24"/>
              </w:rPr>
              <w:t>乙醇含量为70%~80%（v/v），含醇手消毒剂＞60%（v/v），复配产品可依据产品说明书。</w:t>
            </w:r>
          </w:p>
        </w:tc>
        <w:tc>
          <w:tcPr>
            <w:tcW w:w="1538" w:type="dxa"/>
            <w:shd w:val="clear" w:color="auto" w:fill="auto"/>
            <w:noWrap w:val="0"/>
            <w:vAlign w:val="center"/>
          </w:tcPr>
          <w:p>
            <w:pPr>
              <w:widowControl/>
              <w:rPr>
                <w:rFonts w:eastAsia="仿宋_GB2312"/>
                <w:kern w:val="0"/>
                <w:sz w:val="24"/>
                <w:szCs w:val="24"/>
              </w:rPr>
            </w:pPr>
            <w:r>
              <w:rPr>
                <w:rFonts w:eastAsia="仿宋_GB2312"/>
                <w:kern w:val="0"/>
                <w:sz w:val="24"/>
                <w:szCs w:val="24"/>
              </w:rPr>
              <w:t>主要用于手和皮肤消毒，较小物体表面的消毒。</w:t>
            </w:r>
          </w:p>
        </w:tc>
        <w:tc>
          <w:tcPr>
            <w:tcW w:w="3262" w:type="dxa"/>
            <w:shd w:val="clear" w:color="auto" w:fill="auto"/>
            <w:noWrap w:val="0"/>
            <w:vAlign w:val="center"/>
          </w:tcPr>
          <w:p>
            <w:pPr>
              <w:widowControl/>
              <w:rPr>
                <w:rFonts w:eastAsia="仿宋_GB2312"/>
                <w:kern w:val="0"/>
                <w:sz w:val="24"/>
                <w:szCs w:val="24"/>
              </w:rPr>
            </w:pPr>
            <w:r>
              <w:rPr>
                <w:rFonts w:eastAsia="仿宋_GB2312"/>
                <w:kern w:val="0"/>
                <w:sz w:val="24"/>
                <w:szCs w:val="24"/>
              </w:rPr>
              <w:t>卫生手消毒：均匀喷雾手部或涂擦揉搓手部1~2遍，作用1min。擦拭物体表面2遍，作用3min。</w:t>
            </w:r>
          </w:p>
        </w:tc>
        <w:tc>
          <w:tcPr>
            <w:tcW w:w="1800" w:type="dxa"/>
            <w:shd w:val="clear" w:color="auto" w:fill="auto"/>
            <w:noWrap w:val="0"/>
            <w:vAlign w:val="center"/>
          </w:tcPr>
          <w:p>
            <w:pPr>
              <w:widowControl/>
              <w:rPr>
                <w:rFonts w:eastAsia="仿宋_GB2312"/>
                <w:kern w:val="0"/>
                <w:sz w:val="24"/>
                <w:szCs w:val="24"/>
              </w:rPr>
            </w:pPr>
            <w:r>
              <w:rPr>
                <w:rFonts w:eastAsia="仿宋_GB2312"/>
                <w:kern w:val="0"/>
                <w:sz w:val="24"/>
                <w:szCs w:val="24"/>
              </w:rPr>
              <w:t>1、易燃，远离火源。</w:t>
            </w:r>
          </w:p>
          <w:p>
            <w:pPr>
              <w:widowControl/>
              <w:rPr>
                <w:rFonts w:eastAsia="仿宋_GB2312"/>
                <w:kern w:val="0"/>
                <w:sz w:val="24"/>
                <w:szCs w:val="24"/>
              </w:rPr>
            </w:pPr>
            <w:r>
              <w:rPr>
                <w:rFonts w:eastAsia="仿宋_GB2312"/>
                <w:kern w:val="0"/>
                <w:sz w:val="24"/>
                <w:szCs w:val="24"/>
              </w:rPr>
              <w:t>2、不适用于大面积物体表面的消毒使用。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936" w:type="dxa"/>
            <w:shd w:val="clear" w:color="auto" w:fill="auto"/>
            <w:noWrap w:val="0"/>
            <w:vAlign w:val="center"/>
          </w:tcPr>
          <w:p>
            <w:pPr>
              <w:widowControl/>
              <w:jc w:val="center"/>
              <w:rPr>
                <w:rFonts w:eastAsia="仿宋_GB2312"/>
                <w:kern w:val="0"/>
                <w:sz w:val="24"/>
                <w:szCs w:val="24"/>
              </w:rPr>
            </w:pPr>
            <w:r>
              <w:rPr>
                <w:rFonts w:eastAsia="仿宋_GB2312"/>
                <w:kern w:val="0"/>
                <w:sz w:val="24"/>
                <w:szCs w:val="24"/>
              </w:rPr>
              <w:t>含氯</w:t>
            </w:r>
          </w:p>
          <w:p>
            <w:pPr>
              <w:widowControl/>
              <w:jc w:val="center"/>
              <w:rPr>
                <w:rFonts w:eastAsia="仿宋_GB2312"/>
                <w:kern w:val="0"/>
                <w:sz w:val="24"/>
                <w:szCs w:val="24"/>
              </w:rPr>
            </w:pPr>
            <w:r>
              <w:rPr>
                <w:rFonts w:eastAsia="仿宋_GB2312"/>
                <w:kern w:val="0"/>
                <w:sz w:val="24"/>
                <w:szCs w:val="24"/>
              </w:rPr>
              <w:t>消毒剂</w:t>
            </w:r>
          </w:p>
        </w:tc>
        <w:tc>
          <w:tcPr>
            <w:tcW w:w="1587" w:type="dxa"/>
            <w:shd w:val="clear" w:color="auto" w:fill="auto"/>
            <w:noWrap w:val="0"/>
            <w:vAlign w:val="center"/>
          </w:tcPr>
          <w:p>
            <w:pPr>
              <w:widowControl/>
              <w:jc w:val="center"/>
              <w:rPr>
                <w:rFonts w:eastAsia="仿宋_GB2312"/>
                <w:kern w:val="0"/>
                <w:sz w:val="24"/>
                <w:szCs w:val="24"/>
              </w:rPr>
            </w:pPr>
            <w:r>
              <w:rPr>
                <w:rFonts w:eastAsia="仿宋_GB2312"/>
                <w:kern w:val="0"/>
                <w:sz w:val="24"/>
                <w:szCs w:val="24"/>
              </w:rPr>
              <w:t>以有效氯计，含量以mg/L或%表示，漂白粉≥20%，二氯异氰尿酸钠≥55%，84消毒液依据产品说明书，常见为2%~5%。</w:t>
            </w:r>
          </w:p>
        </w:tc>
        <w:tc>
          <w:tcPr>
            <w:tcW w:w="1538" w:type="dxa"/>
            <w:shd w:val="clear" w:color="auto" w:fill="auto"/>
            <w:noWrap w:val="0"/>
            <w:vAlign w:val="center"/>
          </w:tcPr>
          <w:p>
            <w:pPr>
              <w:widowControl/>
              <w:rPr>
                <w:rFonts w:eastAsia="仿宋_GB2312"/>
                <w:kern w:val="0"/>
                <w:sz w:val="24"/>
                <w:szCs w:val="24"/>
              </w:rPr>
            </w:pPr>
            <w:r>
              <w:rPr>
                <w:rFonts w:eastAsia="仿宋_GB2312"/>
                <w:kern w:val="0"/>
                <w:sz w:val="24"/>
                <w:szCs w:val="24"/>
              </w:rPr>
              <w:t>适用于物体表面、果蔬和食饮具的消毒。次氯酸消毒剂还可用于空气、手、皮肤和粘膜的消毒。</w:t>
            </w:r>
          </w:p>
        </w:tc>
        <w:tc>
          <w:tcPr>
            <w:tcW w:w="3262" w:type="dxa"/>
            <w:shd w:val="clear" w:color="auto" w:fill="auto"/>
            <w:noWrap w:val="0"/>
            <w:vAlign w:val="center"/>
          </w:tcPr>
          <w:p>
            <w:pPr>
              <w:widowControl/>
              <w:rPr>
                <w:rFonts w:eastAsia="仿宋_GB2312"/>
                <w:kern w:val="0"/>
                <w:sz w:val="24"/>
                <w:szCs w:val="24"/>
              </w:rPr>
            </w:pPr>
            <w:r>
              <w:rPr>
                <w:rFonts w:eastAsia="仿宋_GB2312"/>
                <w:kern w:val="0"/>
                <w:sz w:val="24"/>
                <w:szCs w:val="24"/>
                <w:lang w:val="en"/>
              </w:rPr>
              <w:t>1.</w:t>
            </w:r>
            <w:r>
              <w:rPr>
                <w:rFonts w:eastAsia="仿宋_GB2312"/>
                <w:kern w:val="0"/>
                <w:sz w:val="24"/>
                <w:szCs w:val="24"/>
              </w:rPr>
              <w:t>物体表面消毒：使用浓度500mg/L；疫源地消毒时，物体表面使用浓度1000mg/L，有明显污染物时，使用浓度10000mg/L；空气等其他消毒时，依据产品说明书。</w:t>
            </w:r>
          </w:p>
          <w:p>
            <w:pPr>
              <w:widowControl/>
              <w:rPr>
                <w:rFonts w:eastAsia="仿宋_GB2312"/>
                <w:kern w:val="0"/>
                <w:sz w:val="24"/>
                <w:szCs w:val="24"/>
              </w:rPr>
            </w:pPr>
            <w:r>
              <w:rPr>
                <w:rFonts w:eastAsia="仿宋_GB2312"/>
                <w:kern w:val="0"/>
                <w:sz w:val="24"/>
                <w:szCs w:val="24"/>
                <w:lang w:val="en"/>
              </w:rPr>
              <w:t>2.</w:t>
            </w:r>
            <w:r>
              <w:rPr>
                <w:rFonts w:eastAsia="仿宋_GB2312"/>
                <w:kern w:val="0"/>
                <w:sz w:val="24"/>
                <w:szCs w:val="24"/>
              </w:rPr>
              <w:t>低温冷藏物体表面消毒：使用浓度1000mg/L；疫源地消毒时，物体表面使用浓度2000mg/L，有明显污染物时，使用浓度20000mg/L。</w:t>
            </w:r>
          </w:p>
          <w:p>
            <w:pPr>
              <w:widowControl/>
              <w:rPr>
                <w:rFonts w:eastAsia="仿宋_GB2312"/>
                <w:kern w:val="0"/>
                <w:sz w:val="24"/>
                <w:szCs w:val="24"/>
              </w:rPr>
            </w:pPr>
            <w:r>
              <w:rPr>
                <w:rFonts w:eastAsia="仿宋_GB2312"/>
                <w:kern w:val="0"/>
                <w:sz w:val="24"/>
                <w:szCs w:val="24"/>
                <w:lang w:val="en"/>
              </w:rPr>
              <w:t>3.</w:t>
            </w:r>
            <w:r>
              <w:rPr>
                <w:rFonts w:eastAsia="仿宋_GB2312"/>
                <w:kern w:val="0"/>
                <w:sz w:val="24"/>
                <w:szCs w:val="24"/>
              </w:rPr>
              <w:t>冷冻物体表面消毒：应采用降低冰点的方法，确保消毒剂不结冰，且须进行消毒效果确认。</w:t>
            </w:r>
          </w:p>
        </w:tc>
        <w:tc>
          <w:tcPr>
            <w:tcW w:w="1800" w:type="dxa"/>
            <w:shd w:val="clear" w:color="auto" w:fill="auto"/>
            <w:noWrap w:val="0"/>
            <w:vAlign w:val="center"/>
          </w:tcPr>
          <w:p>
            <w:pPr>
              <w:widowControl/>
              <w:numPr>
                <w:ilvl w:val="0"/>
                <w:numId w:val="1"/>
              </w:numPr>
              <w:jc w:val="left"/>
              <w:rPr>
                <w:rFonts w:eastAsia="仿宋_GB2312"/>
                <w:kern w:val="0"/>
                <w:sz w:val="24"/>
                <w:szCs w:val="24"/>
              </w:rPr>
            </w:pPr>
            <w:r>
              <w:rPr>
                <w:rFonts w:eastAsia="仿宋_GB2312"/>
                <w:kern w:val="0"/>
                <w:sz w:val="24"/>
                <w:szCs w:val="24"/>
              </w:rPr>
              <w:t>对金属有腐蚀作用，对织物有漂白、褪色作用，因此金属和有色织物慎用。</w:t>
            </w:r>
          </w:p>
          <w:p>
            <w:pPr>
              <w:widowControl/>
              <w:numPr>
                <w:ilvl w:val="0"/>
                <w:numId w:val="1"/>
              </w:numPr>
              <w:jc w:val="left"/>
              <w:rPr>
                <w:rFonts w:eastAsia="仿宋_GB2312"/>
                <w:kern w:val="0"/>
                <w:sz w:val="24"/>
                <w:szCs w:val="24"/>
              </w:rPr>
            </w:pPr>
            <w:r>
              <w:rPr>
                <w:rFonts w:eastAsia="仿宋_GB2312"/>
                <w:kern w:val="0"/>
                <w:sz w:val="24"/>
                <w:szCs w:val="24"/>
              </w:rPr>
              <w:t>强氧化剂，不得与易燃物接触，应当远离火源。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3" w:hRule="atLeast"/>
        </w:trPr>
        <w:tc>
          <w:tcPr>
            <w:tcW w:w="936" w:type="dxa"/>
            <w:shd w:val="clear" w:color="auto" w:fill="auto"/>
            <w:noWrap w:val="0"/>
            <w:vAlign w:val="center"/>
          </w:tcPr>
          <w:p>
            <w:pPr>
              <w:widowControl/>
              <w:jc w:val="center"/>
              <w:rPr>
                <w:rFonts w:eastAsia="仿宋_GB2312"/>
                <w:kern w:val="0"/>
                <w:sz w:val="24"/>
                <w:szCs w:val="24"/>
              </w:rPr>
            </w:pPr>
            <w:r>
              <w:rPr>
                <w:rFonts w:eastAsia="仿宋_GB2312"/>
                <w:kern w:val="0"/>
                <w:sz w:val="24"/>
                <w:szCs w:val="24"/>
              </w:rPr>
              <w:t>过氧化物类消毒剂</w:t>
            </w:r>
          </w:p>
        </w:tc>
        <w:tc>
          <w:tcPr>
            <w:tcW w:w="1587" w:type="dxa"/>
            <w:shd w:val="clear" w:color="auto" w:fill="auto"/>
            <w:noWrap w:val="0"/>
            <w:vAlign w:val="center"/>
          </w:tcPr>
          <w:p>
            <w:pPr>
              <w:widowControl/>
              <w:rPr>
                <w:rFonts w:eastAsia="仿宋_GB2312"/>
                <w:kern w:val="0"/>
                <w:sz w:val="24"/>
                <w:szCs w:val="24"/>
              </w:rPr>
            </w:pPr>
            <w:r>
              <w:rPr>
                <w:rFonts w:eastAsia="仿宋_GB2312"/>
                <w:kern w:val="0"/>
                <w:sz w:val="24"/>
                <w:szCs w:val="24"/>
              </w:rPr>
              <w:t>过氧化氢消毒剂：过氧化氢（以H</w:t>
            </w:r>
            <w:r>
              <w:rPr>
                <w:rFonts w:eastAsia="仿宋_GB2312"/>
                <w:kern w:val="0"/>
                <w:sz w:val="24"/>
                <w:szCs w:val="24"/>
                <w:vertAlign w:val="subscript"/>
              </w:rPr>
              <w:t>2</w:t>
            </w:r>
            <w:r>
              <w:rPr>
                <w:rFonts w:eastAsia="仿宋_GB2312"/>
                <w:kern w:val="0"/>
                <w:sz w:val="24"/>
                <w:szCs w:val="24"/>
              </w:rPr>
              <w:t>O</w:t>
            </w:r>
            <w:r>
              <w:rPr>
                <w:rFonts w:eastAsia="仿宋_GB2312"/>
                <w:kern w:val="0"/>
                <w:sz w:val="24"/>
                <w:szCs w:val="24"/>
                <w:vertAlign w:val="subscript"/>
              </w:rPr>
              <w:t>2</w:t>
            </w:r>
            <w:r>
              <w:rPr>
                <w:rFonts w:eastAsia="仿宋_GB2312"/>
                <w:kern w:val="0"/>
                <w:sz w:val="24"/>
                <w:szCs w:val="24"/>
              </w:rPr>
              <w:t>计）质量分数3%~6%</w:t>
            </w:r>
            <w:r>
              <w:rPr>
                <w:rFonts w:hint="eastAsia" w:eastAsia="仿宋_GB2312"/>
                <w:kern w:val="0"/>
                <w:sz w:val="24"/>
                <w:szCs w:val="24"/>
              </w:rPr>
              <w:t>。</w:t>
            </w:r>
            <w:r>
              <w:rPr>
                <w:rFonts w:eastAsia="仿宋_GB2312"/>
                <w:kern w:val="0"/>
                <w:sz w:val="24"/>
                <w:szCs w:val="24"/>
              </w:rPr>
              <w:t>过氧乙酸消毒剂：过氧乙酸（以C</w:t>
            </w:r>
            <w:r>
              <w:rPr>
                <w:rFonts w:eastAsia="仿宋_GB2312"/>
                <w:kern w:val="0"/>
                <w:sz w:val="24"/>
                <w:szCs w:val="24"/>
                <w:vertAlign w:val="subscript"/>
              </w:rPr>
              <w:t>2</w:t>
            </w:r>
            <w:r>
              <w:rPr>
                <w:rFonts w:eastAsia="仿宋_GB2312"/>
                <w:kern w:val="0"/>
                <w:sz w:val="24"/>
                <w:szCs w:val="24"/>
              </w:rPr>
              <w:t>H</w:t>
            </w:r>
            <w:r>
              <w:rPr>
                <w:rFonts w:eastAsia="仿宋_GB2312"/>
                <w:kern w:val="0"/>
                <w:sz w:val="24"/>
                <w:szCs w:val="24"/>
                <w:vertAlign w:val="subscript"/>
              </w:rPr>
              <w:t>4</w:t>
            </w:r>
            <w:r>
              <w:rPr>
                <w:rFonts w:eastAsia="仿宋_GB2312"/>
                <w:kern w:val="0"/>
                <w:sz w:val="24"/>
                <w:szCs w:val="24"/>
              </w:rPr>
              <w:t>O</w:t>
            </w:r>
            <w:r>
              <w:rPr>
                <w:rFonts w:eastAsia="仿宋_GB2312"/>
                <w:kern w:val="0"/>
                <w:sz w:val="24"/>
                <w:szCs w:val="24"/>
                <w:vertAlign w:val="subscript"/>
              </w:rPr>
              <w:t>3</w:t>
            </w:r>
            <w:r>
              <w:rPr>
                <w:rFonts w:eastAsia="仿宋_GB2312"/>
                <w:kern w:val="0"/>
                <w:sz w:val="24"/>
                <w:szCs w:val="24"/>
              </w:rPr>
              <w:t>计）质量分数15%~21%。</w:t>
            </w:r>
          </w:p>
        </w:tc>
        <w:tc>
          <w:tcPr>
            <w:tcW w:w="1538" w:type="dxa"/>
            <w:shd w:val="clear" w:color="auto" w:fill="auto"/>
            <w:noWrap w:val="0"/>
            <w:vAlign w:val="center"/>
          </w:tcPr>
          <w:p>
            <w:pPr>
              <w:widowControl/>
              <w:rPr>
                <w:rFonts w:eastAsia="仿宋_GB2312"/>
                <w:kern w:val="0"/>
                <w:sz w:val="24"/>
                <w:szCs w:val="24"/>
              </w:rPr>
            </w:pPr>
            <w:r>
              <w:rPr>
                <w:rFonts w:eastAsia="仿宋_GB2312"/>
                <w:kern w:val="0"/>
                <w:sz w:val="24"/>
                <w:szCs w:val="24"/>
              </w:rPr>
              <w:t>适用于物体表面、空气的消毒。</w:t>
            </w:r>
          </w:p>
        </w:tc>
        <w:tc>
          <w:tcPr>
            <w:tcW w:w="3262" w:type="dxa"/>
            <w:shd w:val="clear" w:color="auto" w:fill="auto"/>
            <w:noWrap w:val="0"/>
            <w:vAlign w:val="center"/>
          </w:tcPr>
          <w:p>
            <w:pPr>
              <w:widowControl/>
              <w:rPr>
                <w:rFonts w:eastAsia="仿宋_GB2312"/>
                <w:kern w:val="0"/>
                <w:sz w:val="24"/>
                <w:szCs w:val="24"/>
              </w:rPr>
            </w:pPr>
            <w:r>
              <w:rPr>
                <w:rFonts w:eastAsia="仿宋_GB2312"/>
                <w:kern w:val="0"/>
                <w:sz w:val="24"/>
                <w:szCs w:val="24"/>
                <w:lang w:val="en"/>
              </w:rPr>
              <w:t>1.</w:t>
            </w:r>
            <w:r>
              <w:rPr>
                <w:rFonts w:eastAsia="仿宋_GB2312"/>
                <w:kern w:val="0"/>
                <w:sz w:val="24"/>
                <w:szCs w:val="24"/>
              </w:rPr>
              <w:t>物体表面：0.1%~0.2%过氧乙酸或3%过氧化氢，喷洒或浸泡消毒作用时间30min，然后用清水冲洗去除残留消毒剂。</w:t>
            </w:r>
          </w:p>
          <w:p>
            <w:pPr>
              <w:widowControl/>
              <w:rPr>
                <w:rFonts w:eastAsia="仿宋_GB2312"/>
                <w:kern w:val="0"/>
                <w:sz w:val="24"/>
                <w:szCs w:val="24"/>
              </w:rPr>
            </w:pPr>
            <w:r>
              <w:rPr>
                <w:rFonts w:eastAsia="仿宋_GB2312"/>
                <w:kern w:val="0"/>
                <w:sz w:val="24"/>
                <w:szCs w:val="24"/>
                <w:lang w:val="en"/>
              </w:rPr>
              <w:t>2.</w:t>
            </w:r>
            <w:r>
              <w:rPr>
                <w:rFonts w:eastAsia="仿宋_GB2312"/>
                <w:kern w:val="0"/>
                <w:sz w:val="24"/>
                <w:szCs w:val="24"/>
              </w:rPr>
              <w:t>空气消毒：0.2%过氧乙酸或3%过氧化氢，用气溶胶喷雾方法，用量10mL/m</w:t>
            </w:r>
            <w:r>
              <w:rPr>
                <w:rFonts w:eastAsia="仿宋_GB2312"/>
                <w:kern w:val="0"/>
                <w:sz w:val="24"/>
                <w:szCs w:val="24"/>
                <w:vertAlign w:val="superscript"/>
              </w:rPr>
              <w:t>3</w:t>
            </w:r>
            <w:r>
              <w:rPr>
                <w:rFonts w:eastAsia="仿宋_GB2312"/>
                <w:kern w:val="0"/>
                <w:sz w:val="24"/>
                <w:szCs w:val="24"/>
              </w:rPr>
              <w:t>~20mL/m</w:t>
            </w:r>
            <w:r>
              <w:rPr>
                <w:rFonts w:eastAsia="仿宋_GB2312"/>
                <w:kern w:val="0"/>
                <w:sz w:val="24"/>
                <w:szCs w:val="24"/>
                <w:vertAlign w:val="superscript"/>
              </w:rPr>
              <w:t>3</w:t>
            </w:r>
            <w:r>
              <w:rPr>
                <w:rFonts w:eastAsia="仿宋_GB2312"/>
                <w:kern w:val="0"/>
                <w:sz w:val="24"/>
                <w:szCs w:val="24"/>
              </w:rPr>
              <w:t>计算，消毒作用时间60min后通风换气；也可使用15%过氧乙酸加热熏蒸，用量按7mL/m</w:t>
            </w:r>
            <w:r>
              <w:rPr>
                <w:rFonts w:eastAsia="仿宋_GB2312"/>
                <w:kern w:val="0"/>
                <w:sz w:val="24"/>
                <w:szCs w:val="24"/>
                <w:vertAlign w:val="superscript"/>
              </w:rPr>
              <w:t>3</w:t>
            </w:r>
            <w:r>
              <w:rPr>
                <w:rFonts w:eastAsia="仿宋_GB2312"/>
                <w:kern w:val="0"/>
                <w:sz w:val="24"/>
                <w:szCs w:val="24"/>
              </w:rPr>
              <w:t>计算，熏蒸作用1h~2h后通风换气。</w:t>
            </w:r>
          </w:p>
          <w:p>
            <w:pPr>
              <w:widowControl/>
              <w:rPr>
                <w:rFonts w:eastAsia="仿宋_GB2312"/>
                <w:kern w:val="0"/>
                <w:sz w:val="24"/>
                <w:szCs w:val="24"/>
              </w:rPr>
            </w:pPr>
            <w:r>
              <w:rPr>
                <w:rFonts w:eastAsia="仿宋_GB2312"/>
                <w:kern w:val="0"/>
                <w:sz w:val="24"/>
                <w:szCs w:val="24"/>
                <w:lang w:val="en"/>
              </w:rPr>
              <w:t>3.</w:t>
            </w:r>
            <w:r>
              <w:rPr>
                <w:rFonts w:eastAsia="仿宋_GB2312"/>
                <w:kern w:val="0"/>
                <w:sz w:val="24"/>
                <w:szCs w:val="24"/>
              </w:rPr>
              <w:t>低温冷藏物体表面消毒：0.2%~0.4%过氧乙酸或6%过氧化氢，喷洒或浸泡消毒作用时间30min，然后用清水冲洗去除残留消毒剂。</w:t>
            </w:r>
          </w:p>
          <w:p>
            <w:pPr>
              <w:widowControl/>
              <w:rPr>
                <w:rFonts w:eastAsia="仿宋_GB2312"/>
                <w:kern w:val="0"/>
                <w:sz w:val="24"/>
                <w:szCs w:val="24"/>
              </w:rPr>
            </w:pPr>
            <w:r>
              <w:rPr>
                <w:rFonts w:eastAsia="仿宋_GB2312"/>
                <w:kern w:val="0"/>
                <w:sz w:val="24"/>
                <w:szCs w:val="24"/>
                <w:lang w:val="en"/>
              </w:rPr>
              <w:t>4.</w:t>
            </w:r>
            <w:r>
              <w:rPr>
                <w:rFonts w:eastAsia="仿宋_GB2312"/>
                <w:kern w:val="0"/>
                <w:sz w:val="24"/>
                <w:szCs w:val="24"/>
              </w:rPr>
              <w:t>冷冻物体表面消毒：应采用降低冰点的方法，确保消毒剂不结冰，且须进行消毒效果确认。</w:t>
            </w:r>
          </w:p>
        </w:tc>
        <w:tc>
          <w:tcPr>
            <w:tcW w:w="1800" w:type="dxa"/>
            <w:shd w:val="clear" w:color="auto" w:fill="auto"/>
            <w:noWrap w:val="0"/>
            <w:vAlign w:val="center"/>
          </w:tcPr>
          <w:p>
            <w:pPr>
              <w:widowControl/>
              <w:numPr>
                <w:ilvl w:val="0"/>
                <w:numId w:val="2"/>
              </w:numPr>
              <w:jc w:val="left"/>
              <w:rPr>
                <w:rFonts w:eastAsia="仿宋_GB2312"/>
                <w:kern w:val="0"/>
                <w:sz w:val="24"/>
                <w:szCs w:val="24"/>
              </w:rPr>
            </w:pPr>
            <w:r>
              <w:rPr>
                <w:rFonts w:eastAsia="仿宋_GB2312"/>
                <w:kern w:val="0"/>
                <w:sz w:val="24"/>
                <w:szCs w:val="24"/>
              </w:rPr>
              <w:t>易燃易爆品，遇明火、高热会引起燃烧爆炸。</w:t>
            </w:r>
          </w:p>
          <w:p>
            <w:pPr>
              <w:widowControl/>
              <w:numPr>
                <w:ilvl w:val="0"/>
                <w:numId w:val="2"/>
              </w:numPr>
              <w:jc w:val="left"/>
              <w:rPr>
                <w:rFonts w:eastAsia="仿宋_GB2312"/>
                <w:kern w:val="0"/>
                <w:sz w:val="24"/>
                <w:szCs w:val="24"/>
              </w:rPr>
            </w:pPr>
            <w:r>
              <w:rPr>
                <w:rFonts w:eastAsia="仿宋_GB2312"/>
                <w:kern w:val="0"/>
                <w:sz w:val="24"/>
                <w:szCs w:val="24"/>
              </w:rPr>
              <w:t>与还原剂接触、或遇金属粉末，均有燃烧爆炸危险。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shd w:val="clear" w:color="auto" w:fill="auto"/>
            <w:noWrap w:val="0"/>
            <w:vAlign w:val="center"/>
          </w:tcPr>
          <w:p>
            <w:pPr>
              <w:widowControl/>
              <w:jc w:val="center"/>
              <w:rPr>
                <w:rFonts w:eastAsia="仿宋_GB2312"/>
                <w:kern w:val="0"/>
                <w:sz w:val="24"/>
                <w:szCs w:val="24"/>
              </w:rPr>
            </w:pPr>
            <w:r>
              <w:rPr>
                <w:rFonts w:eastAsia="仿宋_GB2312"/>
                <w:kern w:val="0"/>
                <w:sz w:val="24"/>
                <w:szCs w:val="24"/>
              </w:rPr>
              <w:t>季铵盐类消毒剂</w:t>
            </w:r>
          </w:p>
        </w:tc>
        <w:tc>
          <w:tcPr>
            <w:tcW w:w="1587" w:type="dxa"/>
            <w:shd w:val="clear" w:color="auto" w:fill="auto"/>
            <w:noWrap w:val="0"/>
            <w:vAlign w:val="center"/>
          </w:tcPr>
          <w:p>
            <w:pPr>
              <w:widowControl/>
              <w:jc w:val="center"/>
              <w:rPr>
                <w:rFonts w:eastAsia="仿宋_GB2312"/>
                <w:kern w:val="0"/>
                <w:sz w:val="24"/>
                <w:szCs w:val="24"/>
              </w:rPr>
            </w:pPr>
            <w:r>
              <w:rPr>
                <w:rFonts w:eastAsia="仿宋_GB2312"/>
                <w:kern w:val="0"/>
                <w:sz w:val="24"/>
                <w:szCs w:val="24"/>
              </w:rPr>
              <w:t>依据产品说明书。</w:t>
            </w:r>
          </w:p>
        </w:tc>
        <w:tc>
          <w:tcPr>
            <w:tcW w:w="1538" w:type="dxa"/>
            <w:shd w:val="clear" w:color="auto" w:fill="auto"/>
            <w:noWrap w:val="0"/>
            <w:vAlign w:val="center"/>
          </w:tcPr>
          <w:p>
            <w:pPr>
              <w:widowControl/>
              <w:rPr>
                <w:rFonts w:eastAsia="仿宋_GB2312"/>
                <w:kern w:val="0"/>
                <w:sz w:val="24"/>
                <w:szCs w:val="24"/>
              </w:rPr>
            </w:pPr>
            <w:r>
              <w:rPr>
                <w:rFonts w:eastAsia="仿宋_GB2312"/>
                <w:kern w:val="0"/>
                <w:sz w:val="24"/>
                <w:szCs w:val="24"/>
              </w:rPr>
              <w:t>适用于物体表面的消毒。</w:t>
            </w:r>
          </w:p>
        </w:tc>
        <w:tc>
          <w:tcPr>
            <w:tcW w:w="3262" w:type="dxa"/>
            <w:shd w:val="clear" w:color="auto" w:fill="auto"/>
            <w:noWrap w:val="0"/>
            <w:vAlign w:val="center"/>
          </w:tcPr>
          <w:p>
            <w:pPr>
              <w:widowControl/>
              <w:rPr>
                <w:rFonts w:eastAsia="仿宋_GB2312"/>
                <w:kern w:val="0"/>
                <w:sz w:val="24"/>
                <w:szCs w:val="24"/>
              </w:rPr>
            </w:pPr>
            <w:r>
              <w:rPr>
                <w:rFonts w:eastAsia="仿宋_GB2312"/>
                <w:kern w:val="0"/>
                <w:sz w:val="24"/>
                <w:szCs w:val="24"/>
                <w:lang w:val="en"/>
              </w:rPr>
              <w:t>1.</w:t>
            </w:r>
            <w:r>
              <w:rPr>
                <w:rFonts w:eastAsia="仿宋_GB2312"/>
                <w:kern w:val="0"/>
                <w:sz w:val="24"/>
                <w:szCs w:val="24"/>
              </w:rPr>
              <w:t>物体表面消毒：无明显污染物时，使用浓度1000mg/L；有明显污染物时，使用浓度2000mg/L。</w:t>
            </w:r>
          </w:p>
          <w:p>
            <w:pPr>
              <w:widowControl/>
              <w:rPr>
                <w:rFonts w:eastAsia="仿宋_GB2312"/>
                <w:kern w:val="0"/>
                <w:sz w:val="24"/>
                <w:szCs w:val="24"/>
              </w:rPr>
            </w:pPr>
            <w:r>
              <w:rPr>
                <w:rFonts w:eastAsia="仿宋_GB2312"/>
                <w:kern w:val="0"/>
                <w:sz w:val="24"/>
                <w:szCs w:val="24"/>
                <w:lang w:val="en"/>
              </w:rPr>
              <w:t>2.</w:t>
            </w:r>
            <w:r>
              <w:rPr>
                <w:rFonts w:eastAsia="仿宋_GB2312"/>
                <w:kern w:val="0"/>
                <w:sz w:val="24"/>
                <w:szCs w:val="24"/>
              </w:rPr>
              <w:t>低温冷藏物体表面消毒：无明显污染物时，使用浓度2000mg/L；有明显污染物时，使用浓度4000mg/L。</w:t>
            </w:r>
          </w:p>
          <w:p>
            <w:pPr>
              <w:widowControl/>
              <w:rPr>
                <w:rFonts w:eastAsia="仿宋_GB2312"/>
                <w:kern w:val="0"/>
                <w:sz w:val="24"/>
                <w:szCs w:val="24"/>
              </w:rPr>
            </w:pPr>
            <w:r>
              <w:rPr>
                <w:rFonts w:eastAsia="仿宋_GB2312"/>
                <w:kern w:val="0"/>
                <w:sz w:val="24"/>
                <w:szCs w:val="24"/>
                <w:lang w:val="en"/>
              </w:rPr>
              <w:t>3.</w:t>
            </w:r>
            <w:r>
              <w:rPr>
                <w:rFonts w:eastAsia="仿宋_GB2312"/>
                <w:kern w:val="0"/>
                <w:sz w:val="24"/>
                <w:szCs w:val="24"/>
              </w:rPr>
              <w:t>冷冻物体表面消毒：应采用降低冰点的方法，确保消毒剂不结冰，且须进行消毒效果确认。</w:t>
            </w:r>
          </w:p>
        </w:tc>
        <w:tc>
          <w:tcPr>
            <w:tcW w:w="1800" w:type="dxa"/>
            <w:shd w:val="clear" w:color="auto" w:fill="auto"/>
            <w:noWrap w:val="0"/>
            <w:vAlign w:val="center"/>
          </w:tcPr>
          <w:p>
            <w:pPr>
              <w:widowControl/>
              <w:jc w:val="left"/>
              <w:rPr>
                <w:rFonts w:eastAsia="仿宋_GB2312"/>
                <w:kern w:val="0"/>
                <w:sz w:val="24"/>
                <w:szCs w:val="24"/>
              </w:rPr>
            </w:pPr>
            <w:r>
              <w:rPr>
                <w:rFonts w:eastAsia="仿宋_GB2312"/>
                <w:kern w:val="0"/>
                <w:sz w:val="24"/>
                <w:szCs w:val="24"/>
              </w:rPr>
              <w:t>不能与肥皂或其他阴离子洗涤剂同用，也不能与碘或过氧化物（如高锰酸钾、过氧化氢、磺胺粉等）同用。</w:t>
            </w:r>
          </w:p>
        </w:tc>
      </w:tr>
    </w:tbl>
    <w:p/>
    <w:p>
      <w:bookmarkStart w:id="0" w:name="_GoBack"/>
      <w:bookmarkEnd w:id="0"/>
    </w:p>
    <w:sectPr>
      <w:footerReference r:id="rId4" w:type="default"/>
      <w:pgSz w:w="11906" w:h="16838"/>
      <w:pgMar w:top="1701" w:right="1361" w:bottom="1474" w:left="1474" w:header="851" w:footer="992" w:gutter="0"/>
      <w:pgNumType w:fmt="numberInDash" w:start="1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- 13 -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- 13 -</w:t>
                    </w:r>
                    <w: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6E7D4"/>
    <w:multiLevelType w:val="singleLevel"/>
    <w:tmpl w:val="44E6E7D4"/>
    <w:lvl w:ilvl="0" w:tentative="0">
      <w:start w:val="1"/>
      <w:numFmt w:val="decimal"/>
      <w:suff w:val="nothing"/>
      <w:lvlText w:val="%1、"/>
      <w:lvlJc w:val="left"/>
    </w:lvl>
  </w:abstractNum>
  <w:abstractNum w:abstractNumId="1">
    <w:nsid w:val="6F3FD7BB"/>
    <w:multiLevelType w:val="singleLevel"/>
    <w:tmpl w:val="6F3FD7B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N2ViZWExODRjZWEyNzI3NjU3MjU0YjBlNDg4MzUifQ=="/>
  </w:docVars>
  <w:rsids>
    <w:rsidRoot w:val="00000000"/>
    <w:rsid w:val="5F4D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2022-07-29T07:18:08Z</dcterms:created>
  <dc:creator>Administrator</dc:creator>
  <cp:lastModifiedBy>Administrator</cp:lastModifiedBy>
  <dcterms:modified xsi:type="dcterms:W3CDTF">2022-07-29T07:18:12Z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4BE1CCFFACFA404CB57E2BEC2A0C6344</vt:lpwstr>
  </property>
</Properties>
</file>