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jc w:val="center"/>
        <w:rPr>
          <w:rFonts w:ascii="方正小标宋简体" w:hAnsi="宋体" w:eastAsia="方正小标宋简体" w:cs="宋体"/>
          <w:b/>
          <w:color w:val="333333"/>
          <w:sz w:val="44"/>
          <w:szCs w:val="44"/>
          <w:shd w:val="clear" w:color="auto" w:fill="FFFFFF"/>
        </w:rPr>
      </w:pPr>
      <w:r>
        <w:rPr>
          <w:rFonts w:hint="eastAsia" w:ascii="方正小标宋简体" w:hAnsi="宋体" w:eastAsia="方正小标宋简体" w:cs="宋体"/>
          <w:b/>
          <w:color w:val="333333"/>
          <w:sz w:val="44"/>
          <w:szCs w:val="44"/>
          <w:shd w:val="clear" w:color="auto" w:fill="FFFFFF"/>
        </w:rPr>
        <w:t>龙南市人力资源和社会保障局2020年政府信息公开工作年度报告</w:t>
      </w:r>
    </w:p>
    <w:p>
      <w:pPr>
        <w:pStyle w:val="4"/>
        <w:widowControl/>
        <w:shd w:val="clear" w:color="auto" w:fill="FFFFFF"/>
        <w:spacing w:beforeAutospacing="0" w:afterAutospacing="0"/>
        <w:ind w:firstLine="420"/>
        <w:jc w:val="both"/>
        <w:rPr>
          <w:rFonts w:ascii="宋体" w:hAnsi="宋体" w:eastAsia="宋体" w:cs="宋体"/>
          <w:color w:val="333333"/>
          <w:sz w:val="32"/>
          <w:szCs w:val="32"/>
        </w:rPr>
      </w:pPr>
    </w:p>
    <w:p>
      <w:pPr>
        <w:pStyle w:val="4"/>
        <w:widowControl/>
        <w:shd w:val="clear" w:color="auto" w:fill="FFFFFF"/>
        <w:spacing w:beforeAutospacing="0" w:afterAutospacing="0" w:line="360" w:lineRule="auto"/>
        <w:ind w:firstLine="480" w:firstLineChars="200"/>
        <w:jc w:val="both"/>
        <w:rPr>
          <w:rFonts w:cs="宋体" w:asciiTheme="minorEastAsia" w:hAnsiTheme="minorEastAsia"/>
          <w:color w:val="333333"/>
        </w:rPr>
      </w:pPr>
      <w:bookmarkStart w:id="0" w:name="OLE_LINK2"/>
      <w:bookmarkStart w:id="1" w:name="OLE_LINK1"/>
      <w:r>
        <w:rPr>
          <w:rFonts w:hint="eastAsia" w:asciiTheme="minorEastAsia" w:hAnsiTheme="minorEastAsia"/>
          <w:color w:val="333333"/>
        </w:rPr>
        <w:t>2020年度，按照</w:t>
      </w:r>
      <w:r>
        <w:rPr>
          <w:rFonts w:hint="eastAsia" w:cs="宋体" w:asciiTheme="minorEastAsia" w:hAnsiTheme="minorEastAsia"/>
          <w:color w:val="333333"/>
        </w:rPr>
        <w:t>《中华人民共和国政府信息公开条例》</w:t>
      </w:r>
      <w:r>
        <w:rPr>
          <w:rFonts w:hint="eastAsia" w:asciiTheme="minorEastAsia" w:hAnsiTheme="minorEastAsia"/>
          <w:color w:val="333333"/>
        </w:rPr>
        <w:t>有关规定和《龙南县人民政府办公室关于进一步做好政务公开工作的通知》文件要求，市人社局认真贯彻落实上级有关部署，扎实推进人社系统政府信息公开工作，积极拓宽公开渠道，创新公开方式，加大公开力度，全面提高人力资源和社会保障工作服务水平。</w:t>
      </w:r>
      <w:r>
        <w:rPr>
          <w:rFonts w:hint="eastAsia" w:cs="宋体" w:asciiTheme="minorEastAsia" w:hAnsiTheme="minorEastAsia"/>
          <w:color w:val="333333"/>
        </w:rPr>
        <w:t>本年度报告中所列数据的统计期限自2020年1月1日起至2020年12月31日止。全文包括总体工作情况、主动公开政府信息情况、收到和处理政府信息公开申请情况、政府信息公开行政复议行政诉讼情况、存在的主要问题及改进情况、其他需要报告的事项。本年度报告的电子版可以从龙南市人民政府网站（</w:t>
      </w:r>
      <w:r>
        <w:rPr>
          <w:rFonts w:cs="宋体" w:asciiTheme="minorEastAsia" w:hAnsiTheme="minorEastAsia"/>
          <w:color w:val="333333"/>
        </w:rPr>
        <w:t>http://wcm.ganzhou.gov.cn/</w:t>
      </w:r>
      <w:r>
        <w:rPr>
          <w:rFonts w:hint="eastAsia" w:cs="宋体" w:asciiTheme="minorEastAsia" w:hAnsiTheme="minorEastAsia"/>
          <w:color w:val="333333"/>
        </w:rPr>
        <w:t>）下载。如对本报告有任何疑问，请与市人社局联系（地址：龙南市龙翔大道与105国道交汇处赣州南部中心劳动力市场7楼，电话：0797-3579626，邮编：341700）。</w:t>
      </w:r>
    </w:p>
    <w:bookmarkEnd w:id="0"/>
    <w:p>
      <w:pPr>
        <w:pStyle w:val="4"/>
        <w:widowControl/>
        <w:shd w:val="clear" w:color="auto" w:fill="FFFFFF"/>
        <w:spacing w:beforeAutospacing="0" w:afterAutospacing="0" w:line="360" w:lineRule="auto"/>
        <w:ind w:firstLine="640" w:firstLineChars="200"/>
        <w:jc w:val="both"/>
        <w:rPr>
          <w:rFonts w:asciiTheme="minorEastAsia" w:hAnsiTheme="minorEastAsia"/>
          <w:color w:val="333333"/>
        </w:rPr>
      </w:pPr>
      <w:r>
        <w:rPr>
          <w:rFonts w:hint="eastAsia" w:ascii="黑体" w:hAnsi="黑体" w:eastAsia="黑体"/>
          <w:color w:val="333333"/>
          <w:sz w:val="32"/>
          <w:szCs w:val="32"/>
        </w:rPr>
        <w:t>一、总体工作情况</w:t>
      </w:r>
    </w:p>
    <w:p>
      <w:pPr>
        <w:pStyle w:val="4"/>
        <w:widowControl/>
        <w:shd w:val="clear" w:color="auto" w:fill="FFFFFF"/>
        <w:spacing w:beforeAutospacing="0" w:afterAutospacing="0" w:line="360" w:lineRule="auto"/>
        <w:ind w:firstLine="480"/>
        <w:jc w:val="both"/>
        <w:rPr>
          <w:rFonts w:asciiTheme="minorEastAsia" w:hAnsiTheme="minorEastAsia"/>
          <w:color w:val="333333"/>
        </w:rPr>
      </w:pPr>
      <w:r>
        <w:rPr>
          <w:rFonts w:hint="eastAsia" w:asciiTheme="minorEastAsia" w:hAnsiTheme="minorEastAsia"/>
          <w:color w:val="333333"/>
        </w:rPr>
        <w:t>2020年，市人社局认真贯彻落实《龙南县人民政府办公室关于进一步做好政务公开工作的通知》文件精神，高度重视政府信息公开工作，结合人力资源和社会保障工作实际情况，加强组织领导，采取有效措施，建立健全相关制度，认真组织实施2020年政府信息公开工作，严格按规定、按程序及时将人力资源和社会保障行政决策、管理职能和政务信息向社会全面公布，政务信息公开工作取得了较好成效。</w:t>
      </w:r>
    </w:p>
    <w:p>
      <w:pPr>
        <w:pStyle w:val="9"/>
        <w:widowControl/>
        <w:numPr>
          <w:ilvl w:val="0"/>
          <w:numId w:val="1"/>
        </w:numPr>
        <w:shd w:val="clear" w:color="auto" w:fill="FFFFFF"/>
        <w:spacing w:line="360" w:lineRule="auto"/>
        <w:ind w:firstLineChars="0"/>
        <w:jc w:val="left"/>
        <w:rPr>
          <w:rFonts w:ascii="宋体" w:hAnsi="宋体" w:eastAsia="宋体" w:cs="宋体"/>
          <w:color w:val="000000"/>
          <w:kern w:val="0"/>
          <w:sz w:val="24"/>
        </w:rPr>
      </w:pPr>
      <w:r>
        <w:rPr>
          <w:rFonts w:hint="eastAsia" w:ascii="宋体" w:hAnsi="宋体" w:eastAsia="宋体" w:cs="宋体"/>
          <w:color w:val="000000"/>
          <w:kern w:val="0"/>
          <w:sz w:val="24"/>
        </w:rPr>
        <w:t>主动公开政府信息情况</w:t>
      </w:r>
    </w:p>
    <w:p>
      <w:pPr>
        <w:widowControl/>
        <w:shd w:val="clear" w:color="auto" w:fill="FFFFFF"/>
        <w:spacing w:line="360" w:lineRule="auto"/>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sz w:val="24"/>
        </w:rPr>
        <w:t>2020年度市人社局在市政府门户网站政府信息公开统一平台上主动公开政务信息总量826条，</w:t>
      </w:r>
      <w:r>
        <w:rPr>
          <w:rFonts w:hint="eastAsia" w:asciiTheme="minorEastAsia" w:hAnsiTheme="minorEastAsia"/>
          <w:color w:val="333333"/>
          <w:sz w:val="24"/>
          <w:shd w:val="clear" w:color="auto" w:fill="FFFFFF"/>
        </w:rPr>
        <w:t>主要以政府门户网站、人社微信公众号等形式公开。</w:t>
      </w:r>
    </w:p>
    <w:p>
      <w:pPr>
        <w:pStyle w:val="4"/>
        <w:widowControl/>
        <w:shd w:val="clear" w:color="auto" w:fill="FFFFFF"/>
        <w:spacing w:beforeAutospacing="0" w:afterAutospacing="0" w:line="360" w:lineRule="auto"/>
        <w:ind w:firstLine="482" w:firstLineChars="200"/>
        <w:jc w:val="both"/>
        <w:rPr>
          <w:rFonts w:asciiTheme="minorEastAsia" w:hAnsiTheme="minorEastAsia"/>
          <w:color w:val="333333"/>
        </w:rPr>
      </w:pPr>
      <w:r>
        <w:rPr>
          <w:rFonts w:hint="eastAsia" w:asciiTheme="minorEastAsia" w:hAnsiTheme="minorEastAsia"/>
          <w:b/>
          <w:color w:val="333333"/>
        </w:rPr>
        <w:t>1.决策公开力度持续加大</w:t>
      </w:r>
      <w:r>
        <w:rPr>
          <w:rFonts w:hint="eastAsia" w:asciiTheme="minorEastAsia" w:hAnsiTheme="minorEastAsia"/>
          <w:color w:val="333333"/>
        </w:rPr>
        <w:t>。推进决策公开，加强政策出台前沟通，通过发送征求意见函等方式，全面、适时征求民意及各单位意见，充分保障人民群众的知情权、参与权和监督权。</w:t>
      </w:r>
    </w:p>
    <w:p>
      <w:pPr>
        <w:pStyle w:val="4"/>
        <w:widowControl/>
        <w:shd w:val="clear" w:color="auto" w:fill="FFFFFF"/>
        <w:spacing w:beforeAutospacing="0" w:afterAutospacing="0" w:line="360" w:lineRule="auto"/>
        <w:ind w:firstLine="482" w:firstLineChars="200"/>
        <w:jc w:val="both"/>
        <w:rPr>
          <w:rFonts w:asciiTheme="minorEastAsia" w:hAnsiTheme="minorEastAsia"/>
          <w:color w:val="333333"/>
        </w:rPr>
      </w:pPr>
      <w:r>
        <w:rPr>
          <w:rFonts w:hint="eastAsia" w:asciiTheme="minorEastAsia" w:hAnsiTheme="minorEastAsia"/>
          <w:b/>
          <w:bCs/>
          <w:color w:val="333333"/>
          <w:shd w:val="clear" w:color="auto" w:fill="FFFFFF"/>
        </w:rPr>
        <w:t>2.扎实落实管理公开。</w:t>
      </w:r>
      <w:r>
        <w:rPr>
          <w:rFonts w:hint="eastAsia" w:asciiTheme="minorEastAsia" w:hAnsiTheme="minorEastAsia"/>
          <w:color w:val="333333"/>
          <w:shd w:val="clear" w:color="auto" w:fill="FFFFFF"/>
        </w:rPr>
        <w:t>为落实行政主体责任,加强公共服务，我局结合实际，梳理权责清单，不断完善政务服务事项40项，行政执法事项55项；为进一步保障农民工合法权益，我局建立了约谈欠薪负责人长效机制。对欠薪金额较多、涉及人员较多的项目工程负责人进行约谈，下达限期整改通知书。2020年，龙南市人社部门约谈了2个项目的负责人，有力地保障了农民工的合法权益。同时创新劳动监察模式。联合区社会事务管理局，借助经开区网格化“一对一”服务管理模式，对园区企业欠薪问题进行“网格化”监管，2</w:t>
      </w:r>
      <w:r>
        <w:rPr>
          <w:rFonts w:asciiTheme="minorEastAsia" w:hAnsiTheme="minorEastAsia"/>
          <w:color w:val="333333"/>
          <w:shd w:val="clear" w:color="auto" w:fill="FFFFFF"/>
        </w:rPr>
        <w:t>020</w:t>
      </w:r>
      <w:r>
        <w:rPr>
          <w:rFonts w:hint="eastAsia" w:asciiTheme="minorEastAsia" w:hAnsiTheme="minorEastAsia"/>
          <w:color w:val="333333"/>
          <w:shd w:val="clear" w:color="auto" w:fill="FFFFFF"/>
        </w:rPr>
        <w:t>年，为1800多名劳动者</w:t>
      </w:r>
      <w:r>
        <w:rPr>
          <w:rFonts w:asciiTheme="minorEastAsia" w:hAnsiTheme="minorEastAsia"/>
          <w:color w:val="333333"/>
          <w:shd w:val="clear" w:color="auto" w:fill="FFFFFF"/>
        </w:rPr>
        <w:t>追回拖欠劳动者工资</w:t>
      </w:r>
      <w:r>
        <w:rPr>
          <w:rFonts w:hint="eastAsia" w:asciiTheme="minorEastAsia" w:hAnsiTheme="minorEastAsia"/>
          <w:color w:val="333333"/>
          <w:shd w:val="clear" w:color="auto" w:fill="FFFFFF"/>
        </w:rPr>
        <w:t>约2632</w:t>
      </w:r>
      <w:r>
        <w:rPr>
          <w:rFonts w:asciiTheme="minorEastAsia" w:hAnsiTheme="minorEastAsia"/>
          <w:color w:val="333333"/>
          <w:shd w:val="clear" w:color="auto" w:fill="FFFFFF"/>
        </w:rPr>
        <w:t>万元</w:t>
      </w:r>
      <w:r>
        <w:rPr>
          <w:rFonts w:hint="eastAsia" w:asciiTheme="minorEastAsia" w:hAnsiTheme="minorEastAsia"/>
          <w:color w:val="333333"/>
          <w:shd w:val="clear" w:color="auto" w:fill="FFFFFF"/>
        </w:rPr>
        <w:t>、工程款约5580万元，欠薪个案总体数量相比，整体下降了27.96%，群访案件下降了36%，整体呈现出“平稳可控，调处高效</w:t>
      </w:r>
      <w:r>
        <w:rPr>
          <w:rFonts w:asciiTheme="minorEastAsia" w:hAnsiTheme="minorEastAsia"/>
          <w:color w:val="333333"/>
          <w:shd w:val="clear" w:color="auto" w:fill="FFFFFF"/>
        </w:rPr>
        <w:t>”</w:t>
      </w:r>
      <w:r>
        <w:rPr>
          <w:rFonts w:hint="eastAsia" w:asciiTheme="minorEastAsia" w:hAnsiTheme="minorEastAsia"/>
          <w:color w:val="333333"/>
          <w:shd w:val="clear" w:color="auto" w:fill="FFFFFF"/>
        </w:rPr>
        <w:t>的趋势。</w:t>
      </w:r>
    </w:p>
    <w:p>
      <w:pPr>
        <w:pStyle w:val="4"/>
        <w:widowControl/>
        <w:shd w:val="clear" w:color="auto" w:fill="FFFFFF"/>
        <w:spacing w:beforeAutospacing="0" w:afterAutospacing="0" w:line="360" w:lineRule="auto"/>
        <w:ind w:firstLine="480"/>
        <w:jc w:val="both"/>
        <w:rPr>
          <w:rFonts w:asciiTheme="minorEastAsia" w:hAnsiTheme="minorEastAsia"/>
          <w:color w:val="333333"/>
          <w:shd w:val="clear" w:color="auto" w:fill="FFFFFF"/>
        </w:rPr>
      </w:pPr>
      <w:r>
        <w:rPr>
          <w:rFonts w:hint="eastAsia" w:asciiTheme="minorEastAsia" w:hAnsiTheme="minorEastAsia"/>
          <w:b/>
          <w:bCs/>
          <w:color w:val="333333"/>
          <w:shd w:val="clear" w:color="auto" w:fill="FFFFFF"/>
        </w:rPr>
        <w:t>3.科学规范厘清服务事项。</w:t>
      </w:r>
      <w:r>
        <w:rPr>
          <w:rFonts w:hint="eastAsia" w:asciiTheme="minorEastAsia" w:hAnsiTheme="minorEastAsia"/>
          <w:color w:val="333333"/>
          <w:shd w:val="clear" w:color="auto" w:fill="FFFFFF"/>
        </w:rPr>
        <w:t>根据省市要求，配合做好全省统一行政权力清单梳理编制，及时承接省、市下放事项，组织人员对涉及我局的行政审批事项办事流程及服务指南进行规范调整，并在江西政务服务网站进行事项更新。</w:t>
      </w:r>
    </w:p>
    <w:p>
      <w:pPr>
        <w:spacing w:line="360" w:lineRule="auto"/>
        <w:ind w:firstLine="482" w:firstLineChars="200"/>
        <w:jc w:val="left"/>
        <w:rPr>
          <w:rFonts w:asciiTheme="minorEastAsia" w:hAnsiTheme="minorEastAsia"/>
          <w:color w:val="333333"/>
          <w:sz w:val="24"/>
          <w:shd w:val="clear" w:color="auto" w:fill="FFFFFF"/>
        </w:rPr>
      </w:pPr>
      <w:r>
        <w:rPr>
          <w:rFonts w:hint="eastAsia" w:asciiTheme="minorEastAsia" w:hAnsiTheme="minorEastAsia"/>
          <w:b/>
          <w:bCs/>
          <w:color w:val="333333"/>
          <w:sz w:val="24"/>
          <w:shd w:val="clear" w:color="auto" w:fill="FFFFFF"/>
        </w:rPr>
        <w:t>4.着力提升政务服务能力。</w:t>
      </w:r>
      <w:r>
        <w:rPr>
          <w:rFonts w:hint="eastAsia" w:asciiTheme="minorEastAsia" w:hAnsiTheme="minorEastAsia"/>
          <w:color w:val="333333"/>
          <w:sz w:val="24"/>
          <w:shd w:val="clear" w:color="auto" w:fill="FFFFFF"/>
        </w:rPr>
        <w:t>深入推进“一门”改革。持续推动政务服务事项只进一门办理。目前，我局各依申请类政务服务事项均已进驻行政服务中心，确保企业群众办事只进“一门”。同时，我局充分利用江西省人社一体化综合信息系统，改造升级了企业职工和机关事业单位养老保险系统、城乡居民养老保险系统、公共就业服务系统、社保卡管理系统等4个业务系统并集成对接入网运行。并通过人社一体化系统，完成与全国统一的社会保险公共服务平台、江西省电子政务共享数据统一交换平台等部省平台的对接。首次在全系统推行“一窗受理”新模式，打破就业、社保、创贷等业务专窗的传统模式，实行“前台综合受理、后台分类办理、统一窗口出件”，让群众真正“进一门、到一窗、用一网、一次办”。目前已整合设立4个“一窗受理”综合窗口。自2019年12月全省上线试运行以来，首批60项就业、社保和社保卡类服务事项上线办理，目前系统总体运行平稳，群众跑腿次数明显减少，工作人员经办效率明显提高。截止2020年12月31日，我局利用江西省人社一体化综合信息系统成功办理各类人社服务事项达58453条。</w:t>
      </w:r>
    </w:p>
    <w:p>
      <w:pPr>
        <w:spacing w:line="360" w:lineRule="auto"/>
        <w:ind w:firstLine="482" w:firstLineChars="200"/>
        <w:jc w:val="left"/>
        <w:rPr>
          <w:rFonts w:asciiTheme="minorEastAsia" w:hAnsiTheme="minorEastAsia"/>
          <w:sz w:val="24"/>
          <w:shd w:val="clear" w:color="auto" w:fill="FFFFFF"/>
        </w:rPr>
      </w:pPr>
      <w:r>
        <w:rPr>
          <w:rFonts w:hint="eastAsia" w:asciiTheme="minorEastAsia" w:hAnsiTheme="minorEastAsia"/>
          <w:b/>
          <w:bCs/>
          <w:color w:val="333333"/>
          <w:sz w:val="24"/>
          <w:shd w:val="clear" w:color="auto" w:fill="FFFFFF"/>
        </w:rPr>
        <w:t>5.持续推进执行公开规范化。</w:t>
      </w:r>
      <w:r>
        <w:rPr>
          <w:rFonts w:hint="eastAsia" w:asciiTheme="minorEastAsia" w:hAnsiTheme="minorEastAsia"/>
          <w:color w:val="333333"/>
          <w:sz w:val="24"/>
          <w:shd w:val="clear" w:color="auto" w:fill="FFFFFF"/>
        </w:rPr>
        <w:t>围绕2020年龙南市《政府工作报告》重点工作目标任务，加大疫情防控、“六稳”“六保”政策措施的执行和落实情况公开，依据“谁执法谁公示”的原则，严格落实行政执法公示制度，规范行政执法行为，强化事前公开，规范事中公示，加强事后公开。不断完善双随机“一单两库”，按要求制定随机抽查工作细则和年度检查计划。截至2020年12月31日，我局通过江西省“双随机</w:t>
      </w:r>
      <w:r>
        <w:rPr>
          <w:rFonts w:hint="eastAsia" w:asciiTheme="minorEastAsia" w:hAnsiTheme="minorEastAsia"/>
          <w:color w:val="333333"/>
          <w:sz w:val="24"/>
          <w:shd w:val="clear" w:color="auto" w:fill="FFFFFF"/>
          <w:lang w:eastAsia="zh-CN"/>
        </w:rPr>
        <w:t>、</w:t>
      </w:r>
      <w:bookmarkStart w:id="2" w:name="_GoBack"/>
      <w:bookmarkEnd w:id="2"/>
      <w:r>
        <w:rPr>
          <w:rFonts w:hint="eastAsia" w:asciiTheme="minorEastAsia" w:hAnsiTheme="minorEastAsia"/>
          <w:color w:val="333333"/>
          <w:sz w:val="24"/>
          <w:shd w:val="clear" w:color="auto" w:fill="FFFFFF"/>
        </w:rPr>
        <w:t>一公开”监管平台录入检查双随机检查事项</w:t>
      </w:r>
      <w:r>
        <w:rPr>
          <w:rFonts w:hint="eastAsia" w:asciiTheme="minorEastAsia" w:hAnsiTheme="minorEastAsia"/>
          <w:sz w:val="24"/>
          <w:shd w:val="clear" w:color="auto" w:fill="FFFFFF"/>
        </w:rPr>
        <w:t>6条，检查对象112个，检查人员4人。今年以来共发起随机检查计划6条，录入行政处罚案件0件。</w:t>
      </w:r>
    </w:p>
    <w:p>
      <w:pPr>
        <w:spacing w:line="360" w:lineRule="auto"/>
        <w:ind w:firstLine="482" w:firstLineChars="200"/>
        <w:jc w:val="left"/>
        <w:rPr>
          <w:rFonts w:asciiTheme="minorEastAsia" w:hAnsiTheme="minorEastAsia"/>
          <w:color w:val="333333"/>
          <w:sz w:val="24"/>
          <w:shd w:val="clear" w:color="auto" w:fill="FFFFFF"/>
        </w:rPr>
      </w:pPr>
      <w:r>
        <w:rPr>
          <w:rFonts w:hint="eastAsia" w:asciiTheme="minorEastAsia" w:hAnsiTheme="minorEastAsia"/>
          <w:b/>
          <w:bCs/>
          <w:color w:val="333333"/>
          <w:sz w:val="24"/>
          <w:shd w:val="clear" w:color="auto" w:fill="FFFFFF"/>
        </w:rPr>
        <w:t>6、重点领域政府信息公开情况。</w:t>
      </w:r>
      <w:r>
        <w:rPr>
          <w:rFonts w:hint="eastAsia" w:asciiTheme="minorEastAsia" w:hAnsiTheme="minorEastAsia"/>
          <w:color w:val="333333"/>
          <w:sz w:val="24"/>
          <w:shd w:val="clear" w:color="auto" w:fill="FFFFFF"/>
        </w:rPr>
        <w:t>针对公众关切的热点、难点问题，主动、及时、全面、准确地发布权威政府信息，特别是有关人社工作的重要会议、重要活动、重要决策部署，经济运行和社会发展重要动态等方面的信息，以增进公众对人社工作的了解。强化财政预决算信息公开，在“财政信息”</w:t>
      </w:r>
      <w:r>
        <w:rPr>
          <w:rFonts w:hint="eastAsia" w:asciiTheme="minorEastAsia" w:hAnsiTheme="minorEastAsia"/>
          <w:color w:val="333333"/>
          <w:spacing w:val="-6"/>
          <w:sz w:val="24"/>
          <w:shd w:val="clear" w:color="auto" w:fill="FFFFFF"/>
        </w:rPr>
        <w:t>栏目及时公开我局财政预决算收支情况，主动接受社会监督。</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（二）依申请公开政府信息办理情况</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本年度我局未收到任何形式的依申请公开信息要求。</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（三）政府信息管理情况</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2020年度，市人社局进一步加大政务公开推进力度，严格按照市政府要求的目标任务、时间节点抓好工作落实，取得了预期成效。</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1、结合《中华人民共和国政府信息公开条例》，我局对照市政府的要求对本部门的信息公开工作进行了梳理和规范，按时按量完成了政府信息公开指南、机构职能目录和信息公开年度报告等工作。</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2、按照基层政务公开标准化规范化要求，我局认真梳理社会保险和就业创业两个领域的标准目录，并按条目方式逐项细化分类，确保公开事项分类科学、名称规范、指向明确。在全面梳理细化的基础上，依照政务公开事项清单，逐项逐环节梳理公开内容，明确每一项公开内容的办理材料、办理方式、工作流程、办事时间等要素，让群众少跑腿、只跑一次腿，真正做到为群众着想，为人民服务。</w:t>
      </w:r>
    </w:p>
    <w:p>
      <w:pPr>
        <w:widowControl/>
        <w:shd w:val="clear" w:color="auto" w:fill="FFFFFF"/>
        <w:spacing w:line="360" w:lineRule="auto"/>
        <w:ind w:firstLine="482"/>
        <w:jc w:val="left"/>
        <w:rPr>
          <w:rFonts w:cs="宋体" w:asciiTheme="minorEastAsia" w:hAnsiTheme="minorEastAsia"/>
          <w:color w:val="000000"/>
          <w:kern w:val="0"/>
          <w:sz w:val="24"/>
        </w:rPr>
      </w:pPr>
      <w:r>
        <w:rPr>
          <w:rFonts w:hint="eastAsia" w:asciiTheme="minorEastAsia" w:hAnsiTheme="minorEastAsia"/>
          <w:bCs/>
          <w:color w:val="333333"/>
          <w:sz w:val="24"/>
          <w:shd w:val="clear" w:color="auto" w:fill="FFFFFF"/>
        </w:rPr>
        <w:t>3、</w:t>
      </w:r>
      <w:r>
        <w:rPr>
          <w:rFonts w:hint="eastAsia" w:asciiTheme="minorEastAsia" w:hAnsiTheme="minorEastAsia"/>
          <w:color w:val="333333"/>
          <w:sz w:val="24"/>
          <w:shd w:val="clear" w:color="auto" w:fill="FFFFFF"/>
        </w:rPr>
        <w:t>为进一步推进“放管服”改革，推动法治政府建设，根据《法治政府建设实施纲要》和省政府有关规范性文件专项清理部署要求进行全面清理核对，2020年度我局没有印发规范性文件。</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（四）平台建设</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1、我局政务信息主要依托龙南市政府网站发布，由龙南市政府统一管理运行，运行情况良好。</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2、我局适应新形势的需要，利用微信公众号“就业龙南”，发布就业创业政策、补贴，失业保险待遇领取、招聘求职等信息。</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3、“智慧人社”APP，让待遇领取人员足不出户就可以完成认证，大大提高了工作效率，切实做到了资格认证一个不漏、确保了社保基金的安全。</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（五）监督保障</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我局认真贯彻落实政府信息公开条例，落实信息公开相关工作规定，依法推进、指导、协调、监督本行政区域政府信息公开工作职能，加强政务公开机构建设、专职人员配备和经费保障。加大监督保障力度，将部门年度信息公开推进情况纳入部门绩效考核范围。</w:t>
      </w:r>
    </w:p>
    <w:p>
      <w:pPr>
        <w:pStyle w:val="4"/>
        <w:widowControl/>
        <w:shd w:val="clear" w:color="auto" w:fill="FFFFFF"/>
        <w:spacing w:beforeAutospacing="0" w:afterAutospacing="0" w:line="360" w:lineRule="auto"/>
        <w:ind w:firstLine="480"/>
        <w:jc w:val="both"/>
        <w:rPr>
          <w:rFonts w:ascii="黑体" w:hAnsi="黑体" w:eastAsia="黑体" w:cs="黑体"/>
          <w:bCs/>
          <w:sz w:val="32"/>
          <w:szCs w:val="32"/>
        </w:rPr>
      </w:pPr>
      <w:r>
        <w:rPr>
          <w:rFonts w:hint="eastAsia" w:ascii="黑体" w:hAnsi="黑体" w:eastAsia="黑体" w:cs="黑体"/>
          <w:bCs/>
          <w:sz w:val="32"/>
          <w:szCs w:val="32"/>
        </w:rPr>
        <w:t>二、主动公开政府信息情况</w:t>
      </w:r>
    </w:p>
    <w:tbl>
      <w:tblPr>
        <w:tblStyle w:val="5"/>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8</w:t>
            </w:r>
          </w:p>
        </w:tc>
        <w:tc>
          <w:tcPr>
            <w:tcW w:w="2025"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减少4</w:t>
            </w:r>
          </w:p>
        </w:tc>
        <w:tc>
          <w:tcPr>
            <w:tcW w:w="2295"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12</w:t>
            </w:r>
          </w:p>
        </w:tc>
        <w:tc>
          <w:tcPr>
            <w:tcW w:w="2025"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减少10</w:t>
            </w:r>
          </w:p>
        </w:tc>
        <w:tc>
          <w:tcPr>
            <w:tcW w:w="2295"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41</w:t>
            </w:r>
          </w:p>
        </w:tc>
        <w:tc>
          <w:tcPr>
            <w:tcW w:w="2025"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增加8</w:t>
            </w:r>
          </w:p>
        </w:tc>
        <w:tc>
          <w:tcPr>
            <w:tcW w:w="2295"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2</w:t>
            </w:r>
          </w:p>
        </w:tc>
        <w:tc>
          <w:tcPr>
            <w:tcW w:w="2025" w:type="dxa"/>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3</w:t>
            </w:r>
          </w:p>
        </w:tc>
        <w:tc>
          <w:tcPr>
            <w:tcW w:w="4320" w:type="dxa"/>
            <w:gridSpan w:val="2"/>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1</w:t>
            </w:r>
          </w:p>
        </w:tc>
        <w:tc>
          <w:tcPr>
            <w:tcW w:w="4320" w:type="dxa"/>
            <w:gridSpan w:val="2"/>
            <w:shd w:val="clear" w:color="auto" w:fill="auto"/>
          </w:tcPr>
          <w:p>
            <w:pPr>
              <w:spacing w:line="360" w:lineRule="auto"/>
              <w:jc w:val="center"/>
              <w:rPr>
                <w:rFonts w:ascii="仿宋" w:hAnsi="仿宋" w:eastAsia="仿宋" w:cs="仿宋"/>
                <w:szCs w:val="21"/>
              </w:rPr>
            </w:pPr>
            <w:r>
              <w:rPr>
                <w:rFonts w:hint="eastAsia" w:ascii="仿宋" w:hAnsi="仿宋" w:eastAsia="仿宋" w:cs="仿宋"/>
                <w:szCs w:val="21"/>
              </w:rPr>
              <w:t>3480元</w:t>
            </w:r>
          </w:p>
        </w:tc>
      </w:tr>
    </w:tbl>
    <w:p>
      <w:pPr>
        <w:widowControl/>
        <w:shd w:val="clear" w:color="auto" w:fill="FFFFFF"/>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 xml:space="preserve">    1、本单位政务公开重点工作落实情况</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2020年，我局积极组织本部门的信息公开实施，及时收集、整理各类政府信息，并且进行网上公开。同时我局按照市政府的统一部署，将局内日常工作动态、最新政策法规、三公经费预决算等信息主动在网上公开公示，接受各部门和群众的监督。</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2、社会公益事业建设</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认真做好了重点领域信息公开，重点围绕就业创业、养老、失业等各项保险政策的贯彻实施出台的规范性文件，各项保险办理程序、所需材料等所有涉及广大人民群众切身利益的事项作为政务公开的重点，在龙南市政府网上予以公开。因为疫情原因，国家出台了一些惠民惠企政策，及时准确的进行公开，让广大人民群众和企业及时了解享受到国家政策。</w:t>
      </w:r>
    </w:p>
    <w:p>
      <w:pPr>
        <w:spacing w:line="360" w:lineRule="auto"/>
        <w:rPr>
          <w:rFonts w:ascii="黑体" w:hAnsi="黑体" w:eastAsia="黑体" w:cs="黑体"/>
          <w:bCs/>
          <w:sz w:val="32"/>
          <w:szCs w:val="32"/>
        </w:rPr>
      </w:pPr>
      <w:r>
        <w:rPr>
          <w:rFonts w:hint="eastAsia" w:ascii="黑体" w:hAnsi="黑体" w:eastAsia="黑体" w:cs="黑体"/>
          <w:bCs/>
          <w:sz w:val="32"/>
          <w:szCs w:val="32"/>
        </w:rPr>
        <w:t>三、收到和处理政府信息公开申请情况</w:t>
      </w:r>
    </w:p>
    <w:tbl>
      <w:tblPr>
        <w:tblStyle w:val="5"/>
        <w:tblW w:w="92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kern w:val="0"/>
                <w:szCs w:val="21"/>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kern w:val="0"/>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60" w:lineRule="auto"/>
              <w:jc w:val="center"/>
              <w:rPr>
                <w:rFonts w:cs="黑体"/>
                <w:szCs w:val="21"/>
              </w:rPr>
            </w:pPr>
            <w:r>
              <w:rPr>
                <w:rFonts w:hint="eastAsia"/>
                <w:kern w:val="0"/>
                <w:szCs w:val="21"/>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60" w:lineRule="auto"/>
              <w:jc w:val="center"/>
              <w:rPr>
                <w:rFonts w:cs="黑体"/>
                <w:szCs w:val="21"/>
              </w:rPr>
            </w:pPr>
            <w:r>
              <w:rPr>
                <w:rFonts w:hint="eastAsia"/>
                <w:kern w:val="0"/>
                <w:szCs w:val="21"/>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kern w:val="0"/>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10" w:type="dxa"/>
            <w:vMerge w:val="continue"/>
            <w:tcBorders>
              <w:top w:val="nil"/>
              <w:left w:val="nil"/>
              <w:bottom w:val="single" w:color="auto" w:sz="8" w:space="0"/>
              <w:right w:val="single" w:color="auto" w:sz="8" w:space="0"/>
            </w:tcBorders>
            <w:vAlign w:val="center"/>
          </w:tcPr>
          <w:p>
            <w:pPr>
              <w:snapToGrid w:val="0"/>
              <w:spacing w:line="360" w:lineRule="auto"/>
              <w:jc w:val="left"/>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60" w:lineRule="auto"/>
              <w:jc w:val="center"/>
              <w:rPr>
                <w:rFonts w:cs="黑体"/>
                <w:szCs w:val="21"/>
              </w:rPr>
            </w:pPr>
            <w:r>
              <w:rPr>
                <w:rFonts w:hint="eastAsia"/>
                <w:kern w:val="0"/>
                <w:szCs w:val="21"/>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60" w:lineRule="auto"/>
              <w:jc w:val="center"/>
              <w:rPr>
                <w:rFonts w:cs="黑体"/>
                <w:szCs w:val="21"/>
              </w:rPr>
            </w:pPr>
            <w:r>
              <w:rPr>
                <w:rFonts w:hint="eastAsia"/>
                <w:kern w:val="0"/>
                <w:szCs w:val="21"/>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60" w:lineRule="auto"/>
              <w:jc w:val="center"/>
              <w:rPr>
                <w:rFonts w:cs="黑体"/>
                <w:szCs w:val="21"/>
              </w:rPr>
            </w:pPr>
            <w:r>
              <w:rPr>
                <w:rFonts w:hint="eastAsia"/>
                <w:kern w:val="0"/>
                <w:szCs w:val="21"/>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60" w:lineRule="auto"/>
              <w:jc w:val="center"/>
              <w:rPr>
                <w:rFonts w:cs="黑体"/>
                <w:szCs w:val="21"/>
              </w:rPr>
            </w:pPr>
            <w:r>
              <w:rPr>
                <w:rFonts w:hint="eastAsia"/>
                <w:kern w:val="0"/>
                <w:szCs w:val="21"/>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60" w:lineRule="auto"/>
              <w:jc w:val="center"/>
              <w:rPr>
                <w:rFonts w:cs="黑体"/>
                <w:szCs w:val="21"/>
              </w:rPr>
            </w:pPr>
            <w:r>
              <w:rPr>
                <w:rFonts w:hint="eastAsia"/>
                <w:kern w:val="0"/>
                <w:szCs w:val="21"/>
              </w:rPr>
              <w:t>其他</w:t>
            </w:r>
          </w:p>
        </w:tc>
        <w:tc>
          <w:tcPr>
            <w:tcW w:w="675" w:type="dxa"/>
            <w:vMerge w:val="continue"/>
            <w:tcBorders>
              <w:top w:val="single" w:color="auto" w:sz="8" w:space="0"/>
              <w:left w:val="nil"/>
              <w:bottom w:val="single" w:color="auto" w:sz="8" w:space="0"/>
              <w:right w:val="single" w:color="auto" w:sz="8" w:space="0"/>
            </w:tcBorders>
            <w:vAlign w:val="center"/>
          </w:tcPr>
          <w:p>
            <w:pPr>
              <w:widowControl/>
              <w:snapToGrid w:val="0"/>
              <w:spacing w:line="360" w:lineRule="auto"/>
              <w:jc w:val="left"/>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pacing w:val="-6"/>
                <w:szCs w:val="21"/>
              </w:rPr>
            </w:pPr>
            <w:r>
              <w:rPr>
                <w:rFonts w:hint="eastAsia"/>
                <w:spacing w:val="-6"/>
                <w:kern w:val="0"/>
                <w:szCs w:val="21"/>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pacing w:val="-6"/>
                <w:szCs w:val="21"/>
              </w:rPr>
            </w:pPr>
            <w:r>
              <w:rPr>
                <w:rFonts w:hint="eastAsia"/>
                <w:spacing w:val="-6"/>
                <w:kern w:val="0"/>
                <w:szCs w:val="21"/>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kern w:val="0"/>
                <w:szCs w:val="21"/>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eastAsia="楷体"/>
                <w:kern w:val="0"/>
                <w:szCs w:val="21"/>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eastAsia="楷体"/>
                <w:kern w:val="0"/>
                <w:szCs w:val="21"/>
              </w:rPr>
              <w:t>（</w:t>
            </w:r>
            <w:r>
              <w:rPr>
                <w:rFonts w:hint="eastAsia" w:eastAsia="楷体"/>
                <w:spacing w:val="-2"/>
                <w:kern w:val="0"/>
                <w:szCs w:val="21"/>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eastAsia="楷体"/>
                <w:kern w:val="0"/>
                <w:szCs w:val="21"/>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eastAsia="楷体"/>
                <w:kern w:val="0"/>
                <w:szCs w:val="21"/>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eastAsia="楷体"/>
                <w:kern w:val="0"/>
                <w:szCs w:val="21"/>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eastAsia="楷体"/>
                <w:kern w:val="0"/>
                <w:szCs w:val="21"/>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eastAsia="楷体"/>
                <w:kern w:val="0"/>
                <w:szCs w:val="21"/>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eastAsia="楷体" w:cs="黑体"/>
                <w:szCs w:val="21"/>
              </w:rPr>
            </w:pPr>
            <w:r>
              <w:rPr>
                <w:rFonts w:hint="eastAsia" w:eastAsia="楷体"/>
                <w:kern w:val="0"/>
                <w:szCs w:val="21"/>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eastAsia="楷体"/>
                <w:kern w:val="0"/>
                <w:szCs w:val="21"/>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pacing w:val="-4"/>
                <w:szCs w:val="21"/>
              </w:rPr>
            </w:pPr>
            <w:r>
              <w:rPr>
                <w:rFonts w:hint="eastAsia" w:eastAsia="楷体"/>
                <w:spacing w:val="-4"/>
                <w:kern w:val="0"/>
                <w:szCs w:val="21"/>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pacing w:val="-4"/>
                <w:szCs w:val="21"/>
              </w:rPr>
            </w:pPr>
            <w:r>
              <w:rPr>
                <w:rFonts w:hint="eastAsia" w:eastAsia="楷体"/>
                <w:spacing w:val="-4"/>
                <w:kern w:val="0"/>
                <w:szCs w:val="21"/>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60" w:lineRule="auto"/>
              <w:jc w:val="left"/>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left"/>
              <w:rPr>
                <w:rFonts w:cs="黑体"/>
                <w:szCs w:val="21"/>
              </w:rPr>
            </w:pPr>
            <w:r>
              <w:rPr>
                <w:rFonts w:hint="eastAsia" w:eastAsia="楷体"/>
                <w:kern w:val="0"/>
                <w:szCs w:val="21"/>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60" w:lineRule="auto"/>
              <w:jc w:val="left"/>
              <w:rPr>
                <w:rFonts w:cs="黑体"/>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eastAsia="楷体"/>
                <w:kern w:val="0"/>
                <w:szCs w:val="21"/>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autoSpaceDE w:val="0"/>
              <w:snapToGrid w:val="0"/>
              <w:spacing w:line="360" w:lineRule="auto"/>
              <w:jc w:val="left"/>
              <w:rPr>
                <w:rFonts w:cs="黑体"/>
                <w:szCs w:val="21"/>
              </w:rPr>
            </w:pPr>
            <w:r>
              <w:rPr>
                <w:rFonts w:hint="eastAsia"/>
                <w:kern w:val="0"/>
                <w:szCs w:val="21"/>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cs="黑体"/>
                <w:szCs w:val="21"/>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60" w:lineRule="auto"/>
              <w:jc w:val="center"/>
              <w:rPr>
                <w:rFonts w:cs="黑体"/>
                <w:szCs w:val="21"/>
              </w:rPr>
            </w:pPr>
            <w:r>
              <w:rPr>
                <w:rFonts w:hint="eastAsia"/>
                <w:szCs w:val="21"/>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szCs w:val="21"/>
              </w:rPr>
            </w:pPr>
            <w:r>
              <w:rPr>
                <w:rFonts w:hint="eastAsia"/>
                <w:szCs w:val="21"/>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pPr>
            <w:r>
              <w:rPr>
                <w:rFonts w:hint="eastAsia"/>
              </w:rPr>
              <w:t>0</w:t>
            </w:r>
          </w:p>
        </w:tc>
      </w:tr>
    </w:tbl>
    <w:p>
      <w:pPr>
        <w:spacing w:line="360" w:lineRule="auto"/>
        <w:ind w:left="640"/>
        <w:rPr>
          <w:rFonts w:ascii="仿宋" w:hAnsi="仿宋" w:eastAsia="仿宋" w:cs="仿宋"/>
        </w:rPr>
      </w:pPr>
    </w:p>
    <w:p>
      <w:pPr>
        <w:spacing w:line="360" w:lineRule="auto"/>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360" w:lineRule="auto"/>
              <w:jc w:val="center"/>
              <w:rPr>
                <w:rFonts w:ascii="仿宋" w:hAnsi="仿宋" w:eastAsia="仿宋" w:cs="仿宋"/>
                <w:sz w:val="24"/>
              </w:rPr>
            </w:pPr>
          </w:p>
        </w:tc>
        <w:tc>
          <w:tcPr>
            <w:tcW w:w="568" w:type="dxa"/>
            <w:vMerge w:val="continue"/>
            <w:shd w:val="clear" w:color="auto" w:fill="auto"/>
            <w:vAlign w:val="center"/>
          </w:tcPr>
          <w:p>
            <w:pPr>
              <w:spacing w:line="360" w:lineRule="auto"/>
              <w:jc w:val="center"/>
              <w:rPr>
                <w:rFonts w:ascii="仿宋" w:hAnsi="仿宋" w:eastAsia="仿宋" w:cs="仿宋"/>
                <w:sz w:val="24"/>
              </w:rPr>
            </w:pPr>
          </w:p>
        </w:tc>
        <w:tc>
          <w:tcPr>
            <w:tcW w:w="568" w:type="dxa"/>
            <w:vMerge w:val="continue"/>
            <w:shd w:val="clear" w:color="auto" w:fill="auto"/>
            <w:vAlign w:val="center"/>
          </w:tcPr>
          <w:p>
            <w:pPr>
              <w:spacing w:line="360" w:lineRule="auto"/>
              <w:jc w:val="center"/>
              <w:rPr>
                <w:rFonts w:ascii="仿宋" w:hAnsi="仿宋" w:eastAsia="仿宋" w:cs="仿宋"/>
                <w:sz w:val="24"/>
              </w:rPr>
            </w:pPr>
          </w:p>
        </w:tc>
        <w:tc>
          <w:tcPr>
            <w:tcW w:w="568" w:type="dxa"/>
            <w:vMerge w:val="continue"/>
            <w:shd w:val="clear" w:color="auto" w:fill="auto"/>
            <w:vAlign w:val="center"/>
          </w:tcPr>
          <w:p>
            <w:pPr>
              <w:spacing w:line="360" w:lineRule="auto"/>
              <w:jc w:val="center"/>
              <w:rPr>
                <w:rFonts w:ascii="仿宋" w:hAnsi="仿宋" w:eastAsia="仿宋" w:cs="仿宋"/>
                <w:sz w:val="24"/>
              </w:rPr>
            </w:pPr>
          </w:p>
        </w:tc>
        <w:tc>
          <w:tcPr>
            <w:tcW w:w="568" w:type="dxa"/>
            <w:vMerge w:val="continue"/>
            <w:shd w:val="clear" w:color="auto" w:fill="auto"/>
            <w:vAlign w:val="center"/>
          </w:tcPr>
          <w:p>
            <w:pPr>
              <w:spacing w:line="360" w:lineRule="auto"/>
              <w:jc w:val="center"/>
              <w:rPr>
                <w:rFonts w:ascii="仿宋" w:hAnsi="仿宋" w:eastAsia="仿宋" w:cs="仿宋"/>
                <w:sz w:val="24"/>
              </w:rPr>
            </w:pP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c>
          <w:tcPr>
            <w:tcW w:w="568"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0</w:t>
            </w:r>
          </w:p>
        </w:tc>
      </w:tr>
    </w:tbl>
    <w:p>
      <w:pPr>
        <w:widowControl/>
        <w:shd w:val="clear" w:color="auto" w:fill="FFFFFF"/>
        <w:spacing w:line="360" w:lineRule="auto"/>
        <w:rPr>
          <w:rFonts w:ascii="宋体" w:hAnsi="宋体" w:eastAsia="宋体" w:cs="宋体"/>
          <w:color w:val="333333"/>
          <w:sz w:val="32"/>
          <w:szCs w:val="32"/>
        </w:rPr>
      </w:pPr>
    </w:p>
    <w:p>
      <w:pPr>
        <w:pStyle w:val="4"/>
        <w:widowControl/>
        <w:shd w:val="clear" w:color="auto" w:fill="FFFFFF"/>
        <w:spacing w:beforeAutospacing="0" w:afterAutospacing="0" w:line="360" w:lineRule="auto"/>
        <w:ind w:firstLine="480" w:firstLineChars="15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五、存在的主要问题及改进情况</w:t>
      </w:r>
    </w:p>
    <w:p>
      <w:pPr>
        <w:pStyle w:val="4"/>
        <w:widowControl/>
        <w:shd w:val="clear" w:color="auto" w:fill="FFFFFF"/>
        <w:spacing w:beforeAutospacing="0" w:afterAutospacing="0" w:line="360" w:lineRule="auto"/>
        <w:ind w:firstLine="420"/>
        <w:jc w:val="both"/>
        <w:rPr>
          <w:rFonts w:asciiTheme="minorEastAsia" w:hAnsiTheme="minorEastAsia"/>
          <w:color w:val="333333"/>
          <w:shd w:val="clear" w:color="auto" w:fill="FFFFFF"/>
        </w:rPr>
      </w:pPr>
      <w:r>
        <w:rPr>
          <w:rFonts w:hint="eastAsia" w:asciiTheme="minorEastAsia" w:hAnsiTheme="minorEastAsia"/>
          <w:color w:val="333333"/>
          <w:shd w:val="clear" w:color="auto" w:fill="FFFFFF"/>
        </w:rPr>
        <w:t>市人社局的政务公开工作虽然取得了一定的成绩，但离上级和群众的要求还有差距，主要表现为:</w:t>
      </w:r>
      <w:r>
        <w:rPr>
          <w:rFonts w:asciiTheme="minorEastAsia" w:hAnsiTheme="minorEastAsia"/>
          <w:color w:val="333333"/>
          <w:shd w:val="clear" w:color="auto" w:fill="FFFFFF"/>
        </w:rPr>
        <w:t xml:space="preserve"> </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（一）存在的主要问题</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1、信息发布的全面性、及时性有待加强。由于政务信息公开涉及面广，信息的报送来源于多个股室和二级单位，部分股室和单位对信息工作重视程度不够，认识不足，积极性不高，导致不能全面及时的发布信息。</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2、机关工作人员偏紧，各股室指定人员兼顾信息公开工作，在一定程度上影响了信息公开的及时性。</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（二）改进措施</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1、加强领导，明确责任，提高各股室各单位对政府信息公开工作重要性的认识。确保内部协调有力，相关政策和数据做到应报尽报、及时全面准确。</w:t>
      </w:r>
    </w:p>
    <w:p>
      <w:pPr>
        <w:widowControl/>
        <w:shd w:val="clear" w:color="auto" w:fill="FFFFFF"/>
        <w:spacing w:line="360" w:lineRule="auto"/>
        <w:ind w:firstLine="482"/>
        <w:jc w:val="left"/>
        <w:rPr>
          <w:rFonts w:ascii="宋体" w:hAnsi="宋体" w:eastAsia="宋体" w:cs="宋体"/>
          <w:color w:val="000000"/>
          <w:kern w:val="0"/>
          <w:sz w:val="24"/>
        </w:rPr>
      </w:pPr>
      <w:r>
        <w:rPr>
          <w:rFonts w:hint="eastAsia" w:ascii="宋体" w:hAnsi="宋体" w:eastAsia="宋体" w:cs="宋体"/>
          <w:color w:val="000000"/>
          <w:kern w:val="0"/>
          <w:sz w:val="24"/>
        </w:rPr>
        <w:t>2、进一步提升工作人员政务公开工作水平。定期组织各股室各单位信息公开负责人员，进行业务培训，充分了解政务公开工作内容，打造一支专业性的人社部门信息公开队伍，提高信息公开质量。</w:t>
      </w:r>
    </w:p>
    <w:p>
      <w:pPr>
        <w:pStyle w:val="4"/>
        <w:widowControl/>
        <w:shd w:val="clear" w:color="auto" w:fill="FFFFFF"/>
        <w:spacing w:beforeAutospacing="0" w:afterAutospacing="0" w:line="360" w:lineRule="auto"/>
        <w:ind w:firstLine="42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六、其他需要报告的事项</w:t>
      </w:r>
    </w:p>
    <w:p>
      <w:pPr>
        <w:pStyle w:val="4"/>
        <w:widowControl/>
        <w:shd w:val="clear" w:color="auto" w:fill="FFFFFF"/>
        <w:spacing w:beforeAutospacing="0" w:afterAutospacing="0" w:line="360" w:lineRule="auto"/>
        <w:ind w:firstLine="420"/>
        <w:jc w:val="both"/>
        <w:rPr>
          <w:rFonts w:ascii="宋体" w:hAnsi="宋体" w:eastAsia="宋体"/>
        </w:rPr>
      </w:pPr>
      <w:r>
        <w:rPr>
          <w:rFonts w:hint="eastAsia" w:ascii="宋体" w:hAnsi="宋体" w:eastAsia="宋体" w:cs="宋体"/>
          <w:color w:val="333333"/>
          <w:shd w:val="clear" w:color="auto" w:fill="FFFFFF"/>
        </w:rPr>
        <w:t>无</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8E4264"/>
    <w:multiLevelType w:val="multilevel"/>
    <w:tmpl w:val="238E4264"/>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yODQyYmNlYTg5YWZhMGYxYjFhZTRiYTRkZDMyMWUifQ=="/>
  </w:docVars>
  <w:rsids>
    <w:rsidRoot w:val="00504347"/>
    <w:rsid w:val="000D45A2"/>
    <w:rsid w:val="001C487F"/>
    <w:rsid w:val="00220A18"/>
    <w:rsid w:val="002214B5"/>
    <w:rsid w:val="00254166"/>
    <w:rsid w:val="002824C4"/>
    <w:rsid w:val="002F39A7"/>
    <w:rsid w:val="00321525"/>
    <w:rsid w:val="00451332"/>
    <w:rsid w:val="005016F6"/>
    <w:rsid w:val="00504347"/>
    <w:rsid w:val="00516081"/>
    <w:rsid w:val="005276BE"/>
    <w:rsid w:val="005A5B61"/>
    <w:rsid w:val="005E03A2"/>
    <w:rsid w:val="00610914"/>
    <w:rsid w:val="00660C89"/>
    <w:rsid w:val="00675ED7"/>
    <w:rsid w:val="0075204B"/>
    <w:rsid w:val="007C75EA"/>
    <w:rsid w:val="007F5F5E"/>
    <w:rsid w:val="008A1D23"/>
    <w:rsid w:val="008B7577"/>
    <w:rsid w:val="008C355F"/>
    <w:rsid w:val="00964ED9"/>
    <w:rsid w:val="009729A2"/>
    <w:rsid w:val="00A300EF"/>
    <w:rsid w:val="00AA289A"/>
    <w:rsid w:val="00AB0444"/>
    <w:rsid w:val="00B320B2"/>
    <w:rsid w:val="00B45013"/>
    <w:rsid w:val="00B62C1F"/>
    <w:rsid w:val="00C85CD5"/>
    <w:rsid w:val="00CC252F"/>
    <w:rsid w:val="00CF0F26"/>
    <w:rsid w:val="00D56293"/>
    <w:rsid w:val="00DA566E"/>
    <w:rsid w:val="00EC486E"/>
    <w:rsid w:val="00EE4894"/>
    <w:rsid w:val="00EE5ED7"/>
    <w:rsid w:val="00F64055"/>
    <w:rsid w:val="00F65241"/>
    <w:rsid w:val="00F7603A"/>
    <w:rsid w:val="00F8023A"/>
    <w:rsid w:val="00F9108A"/>
    <w:rsid w:val="00FC708A"/>
    <w:rsid w:val="072F4BA5"/>
    <w:rsid w:val="0F42566A"/>
    <w:rsid w:val="0FE32618"/>
    <w:rsid w:val="17534F7D"/>
    <w:rsid w:val="1ADA1C54"/>
    <w:rsid w:val="1B931963"/>
    <w:rsid w:val="1C880B0D"/>
    <w:rsid w:val="23B06487"/>
    <w:rsid w:val="2480713E"/>
    <w:rsid w:val="519D4381"/>
    <w:rsid w:val="566E50F8"/>
    <w:rsid w:val="56857A37"/>
    <w:rsid w:val="5FCE6A83"/>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2237</Words>
  <Characters>2597</Characters>
  <Lines>74</Lines>
  <Paragraphs>12</Paragraphs>
  <TotalTime>231</TotalTime>
  <ScaleCrop>false</ScaleCrop>
  <LinksUpToDate>false</LinksUpToDate>
  <CharactersWithSpaces>4822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美丽心琴</cp:lastModifiedBy>
  <cp:lastPrinted>2021-02-05T07:19:00Z</cp:lastPrinted>
  <dcterms:modified xsi:type="dcterms:W3CDTF">2024-03-25T02:48:48Z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B0BE17269B2940A1A77DDB7D630B25A0_12</vt:lpwstr>
  </property>
</Properties>
</file>