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rPr>
          <w:rFonts w:hint="eastAsia" w:ascii="仿宋" w:hAnsi="仿宋" w:eastAsia="仿宋" w:cs="仿宋"/>
          <w:sz w:val="32"/>
          <w:szCs w:val="32"/>
        </w:rPr>
      </w:pPr>
      <w:r>
        <w:rPr>
          <w:rFonts w:hint="eastAsia" w:ascii="仿宋" w:hAnsi="仿宋" w:eastAsia="仿宋" w:cs="仿宋"/>
          <w:kern w:val="0"/>
          <w:sz w:val="32"/>
          <w:szCs w:val="32"/>
          <w:lang w:val="en-US" w:eastAsia="zh-CN" w:bidi="ar"/>
        </w:rPr>
        <w:t>龙南市住房和城乡建设局</w:t>
      </w:r>
    </w:p>
    <w:p>
      <w:pPr>
        <w:keepNext w:val="0"/>
        <w:keepLines w:val="0"/>
        <w:widowControl/>
        <w:suppressLineNumbers w:val="0"/>
        <w:spacing w:before="0" w:beforeAutospacing="1" w:after="0" w:afterAutospacing="1"/>
        <w:ind w:left="0" w:right="0"/>
        <w:jc w:val="center"/>
        <w:rPr>
          <w:rFonts w:hint="eastAsia" w:ascii="仿宋" w:hAnsi="仿宋" w:eastAsia="仿宋" w:cs="仿宋"/>
          <w:sz w:val="32"/>
          <w:szCs w:val="32"/>
        </w:rPr>
      </w:pPr>
      <w:r>
        <w:rPr>
          <w:rFonts w:hint="eastAsia" w:ascii="仿宋" w:hAnsi="仿宋" w:eastAsia="仿宋" w:cs="仿宋"/>
          <w:kern w:val="0"/>
          <w:sz w:val="32"/>
          <w:szCs w:val="32"/>
          <w:lang w:val="en-US" w:eastAsia="zh-CN" w:bidi="ar"/>
        </w:rPr>
        <w:t>2020年政</w:t>
      </w:r>
      <w:bookmarkStart w:id="0" w:name="_GoBack"/>
      <w:bookmarkEnd w:id="0"/>
      <w:r>
        <w:rPr>
          <w:rFonts w:hint="eastAsia" w:ascii="仿宋" w:hAnsi="仿宋" w:eastAsia="仿宋" w:cs="仿宋"/>
          <w:kern w:val="0"/>
          <w:sz w:val="32"/>
          <w:szCs w:val="32"/>
          <w:lang w:val="en-US" w:eastAsia="zh-CN" w:bidi="ar"/>
        </w:rPr>
        <w:t>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bdr w:val="none" w:color="auto" w:sz="0" w:space="0"/>
          <w:shd w:val="clear" w:fill="FFFFFF"/>
        </w:rPr>
        <w:t> </w:t>
      </w:r>
    </w:p>
    <w:p>
      <w:pPr>
        <w:keepNext w:val="0"/>
        <w:keepLines w:val="0"/>
        <w:widowControl/>
        <w:suppressLineNumbers w:val="0"/>
        <w:spacing w:before="0" w:beforeAutospacing="1" w:after="0" w:afterAutospacing="1"/>
        <w:ind w:left="0" w:right="0" w:firstLine="480" w:firstLineChars="20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本报告依据《中华人民共和国政府信息公开条例》（国务院令第711号，以下简称新《条例》）和《国务院办公厅政府信息与政务公开办公室关于政府信息公开工作年度报告有关事项的通知》（国办公开办函〔2019〕60号）要求，由龙南市住房和城乡建设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部门信息公开-信息公开年度报告（http://www.jxln.gov.cn/lnxxxgk/c102643/list.shtml）下载。如对本报告有任何疑问，请与龙南市住房和城乡建设局联系（地址：江西省赣州市龙南市龙翔大道中段龙南市住房和城乡建设局，电话：0797-3529090，邮编：341700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b w:val="0"/>
          <w:bCs w:val="0"/>
          <w:i w:val="0"/>
          <w:iCs w:val="0"/>
          <w:caps w:val="0"/>
          <w:color w:val="333333"/>
          <w:spacing w:val="0"/>
          <w:sz w:val="24"/>
          <w:szCs w:val="24"/>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2020年龙南市住房和城乡建设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市委、市政府中心工作及社会群众关注关切，着力提升政府信息公开质量，推进拓宽政府信息公开渠道，不断增强政府信息公开实效，全年未发生网络信息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2020年以来，我局立足于住房和城乡建设工作实际，以强化服务为重点，丰富主动公开内容：一是进一步加大了物业管理、质量监督管理等网站信息公开力度，突出政务信息公开；二是强化网站信息公开的时效性，建立内部公开信息报送机制，做到及时更新更新网站信息。主动公开信息的内容有：概况信息、规范性文件、发展规划、工作动态、人事信息、财经信息、公共服务、信息公开年度报告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2020年度，我局无依申请公开的政府信息。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1.规范化标准化建设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按照转变政府职能和推进“五公开”的要求，全面梳理和优化政务公开工作流程，健全工作机制，推动发布、解读、回应有序衔接，实现决策、执行、管理、服务、结果全过程公开。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2.数字化管理（加大数据公开力度）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对房地产业发展数据按季度公开。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3.规范信息审核发布机制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机关各股室在文件办理过程中确定的公开文件，在文件印刷成文后，应及时交由局办公室存档，预发布的信息经局办公室审核后予以网上对外公开发布。重大信息、敏感信息须报分管领导审核，上报主要领导审定后发布。对需要审核的信息，原则上做到一个工作日内审核，审核通过后立即上网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4.规范性文件清理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2020年我局无规范性文件清理情况。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1.政府门户网站第一平台作用（专题专栏）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在主动公开信息工作中，为方便公众了解信息，我局充分发挥网站对外宣传和信息发布的重要作用，凡是主动公开的政务信息，全部在市政府门户网站予以公开，努力满足人民群众获取和利用公共信息资源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2.公开方式多样化（政务新媒体、手机APP、两微一端）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重要的主动公开信息同时通过报纸、电视、微信公众号等媒体予以发布。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（五）监督保障（工作考核、社会评议和责任追究结果情况）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1.工作考核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我局高度重视信息公开工作，坚持与中心工作紧密结合，同研究、同部署、同检查、同落实。每季度分析、部署信息公开工作。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2.社会评议和责任追究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落实监督保障和责任追究制度，较好地发挥了全社会对住建局信息公开工作的监督作用。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3.组织领导、监督检查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完善组织机构。成立了信息公开工作领导小组，领导小组下设办公室，负责组织、指导、推进、协调和监督信息公开工作，使日常信息公开工作顺利开展。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建立健全制度。学习了《政府信息公开条例》等相关信息公开的文件和会议精神，建立健全信息公开审批发布制度，确保政府信息公开工作日常化、规范化和制度化。</w:t>
      </w:r>
    </w:p>
    <w:p>
      <w:pPr>
        <w:keepNext w:val="0"/>
        <w:keepLines w:val="0"/>
        <w:widowControl/>
        <w:suppressLineNumbers w:val="0"/>
        <w:spacing w:before="0" w:beforeAutospacing="1" w:after="0" w:afterAutospacing="1" w:line="540" w:lineRule="exact"/>
        <w:ind w:left="0" w:right="0" w:firstLine="480" w:firstLineChars="200"/>
        <w:jc w:val="left"/>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bidi="ar"/>
        </w:rPr>
        <w:t>二、主动公开政府信息情况</w:t>
      </w:r>
    </w:p>
    <w:tbl>
      <w:tblP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66" w:hRule="atLeast"/>
        </w:trPr>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本年新制作数量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本年新公开数量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规    章</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规范性文件</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48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本年增/减</w:t>
            </w:r>
          </w:p>
        </w:tc>
        <w:tc>
          <w:tcPr>
            <w:tcW w:w="22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行政许可</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46</w:t>
            </w:r>
          </w:p>
        </w:tc>
        <w:tc>
          <w:tcPr>
            <w:tcW w:w="20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其他对外管理服务事项</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10</w:t>
            </w:r>
          </w:p>
        </w:tc>
        <w:tc>
          <w:tcPr>
            <w:tcW w:w="20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本年增/减</w:t>
            </w:r>
          </w:p>
        </w:tc>
        <w:tc>
          <w:tcPr>
            <w:tcW w:w="22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行政处罚</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327</w:t>
            </w:r>
          </w:p>
        </w:tc>
        <w:tc>
          <w:tcPr>
            <w:tcW w:w="20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行政强制</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17</w:t>
            </w:r>
          </w:p>
        </w:tc>
        <w:tc>
          <w:tcPr>
            <w:tcW w:w="20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上一年项目数量</w:t>
            </w:r>
          </w:p>
        </w:tc>
        <w:tc>
          <w:tcPr>
            <w:tcW w:w="432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行政事业性收费</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1</w:t>
            </w:r>
          </w:p>
        </w:tc>
        <w:tc>
          <w:tcPr>
            <w:tcW w:w="432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采购项目数量</w:t>
            </w:r>
          </w:p>
        </w:tc>
        <w:tc>
          <w:tcPr>
            <w:tcW w:w="432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政府集中采购</w:t>
            </w:r>
          </w:p>
        </w:tc>
        <w:tc>
          <w:tcPr>
            <w:tcW w:w="24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bl>
    <w:p>
      <w:pPr>
        <w:keepNext w:val="0"/>
        <w:keepLines w:val="0"/>
        <w:widowControl/>
        <w:suppressLineNumbers w:val="0"/>
        <w:spacing w:before="0" w:beforeAutospacing="1" w:after="0" w:afterAutospacing="1" w:line="540" w:lineRule="exact"/>
        <w:ind w:left="0" w:right="0"/>
        <w:jc w:val="left"/>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bidi="ar"/>
        </w:rPr>
        <w:t>三、收到和处理政府信息公开申请情况</w:t>
      </w:r>
    </w:p>
    <w:tbl>
      <w:tblPr>
        <w:tblW w:w="9259" w:type="dxa"/>
        <w:jc w:val="center"/>
        <w:shd w:val="clear"/>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申请人情况</w:t>
            </w:r>
          </w:p>
        </w:tc>
      </w:tr>
      <w:tr>
        <w:tblPrEx>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c>
          <w:tcPr>
            <w:tcW w:w="81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自然人</w:t>
            </w:r>
          </w:p>
        </w:tc>
        <w:tc>
          <w:tcPr>
            <w:tcW w:w="399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法人或其他组织</w:t>
            </w:r>
          </w:p>
        </w:tc>
        <w:tc>
          <w:tcPr>
            <w:tcW w:w="67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总计</w:t>
            </w:r>
          </w:p>
        </w:tc>
      </w:tr>
      <w:tr>
        <w:tblPrEx>
          <w:shd w:val="clear"/>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c>
          <w:tcPr>
            <w:tcW w:w="81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商业企业</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科研机构</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社会公益组织</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法律服务机构</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其他</w:t>
            </w:r>
          </w:p>
        </w:tc>
        <w:tc>
          <w:tcPr>
            <w:tcW w:w="67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r>
      <w:tr>
        <w:tblPrEx>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spacing w:val="-6"/>
                <w:kern w:val="0"/>
                <w:sz w:val="24"/>
                <w:szCs w:val="24"/>
                <w:bdr w:val="none" w:color="auto" w:sz="0" w:space="0"/>
                <w:lang w:val="en-US" w:eastAsia="zh-CN" w:bidi="ar"/>
              </w:rPr>
              <w:t>一、本年新收政府信息公开申请数量</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spacing w:val="-6"/>
                <w:kern w:val="0"/>
                <w:sz w:val="24"/>
                <w:szCs w:val="24"/>
                <w:bdr w:val="none" w:color="auto" w:sz="0" w:space="0"/>
                <w:lang w:val="en-US" w:eastAsia="zh-CN" w:bidi="ar"/>
              </w:rPr>
              <w:t>二、上年结转政府信息公开申请数量</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三、本年度办理结果</w:t>
            </w:r>
          </w:p>
        </w:tc>
        <w:tc>
          <w:tcPr>
            <w:tcW w:w="2929"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（一）予以公开</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929"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w:t>
            </w:r>
            <w:r>
              <w:rPr>
                <w:rFonts w:hint="eastAsia" w:ascii="仿宋" w:hAnsi="仿宋" w:eastAsia="仿宋" w:cs="仿宋"/>
                <w:spacing w:val="-2"/>
                <w:kern w:val="0"/>
                <w:sz w:val="24"/>
                <w:szCs w:val="24"/>
                <w:bdr w:val="none" w:color="auto" w:sz="0" w:space="0"/>
                <w:lang w:val="en-US" w:eastAsia="zh-CN" w:bidi="ar"/>
              </w:rPr>
              <w:t>二）部分公开（区分处理的，只计这一情形，不计其他情形）</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（三）不予公开</w:t>
            </w:r>
          </w:p>
        </w:tc>
        <w:tc>
          <w:tcPr>
            <w:tcW w:w="207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1.属于国家秘密</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07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2.其他法律行政法规禁止公开</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07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3.危及“三安全一稳定”</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07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4.保护第三方合法权益</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07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5.属于三类内部事务信息</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shd w:val="clear"/>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07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6.属于四类过程性信息</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07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spacing w:val="-4"/>
                <w:kern w:val="0"/>
                <w:sz w:val="24"/>
                <w:szCs w:val="24"/>
                <w:bdr w:val="none" w:color="auto" w:sz="0" w:space="0"/>
                <w:lang w:val="en-US" w:eastAsia="zh-CN" w:bidi="ar"/>
              </w:rPr>
              <w:t>7.属于行政执法案卷</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shd w:val="clear"/>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spacing w:val="-4"/>
                <w:kern w:val="0"/>
                <w:sz w:val="24"/>
                <w:szCs w:val="24"/>
                <w:bdr w:val="none" w:color="auto" w:sz="0" w:space="0"/>
                <w:lang w:val="en-US" w:eastAsia="zh-CN" w:bidi="ar"/>
              </w:rPr>
              <w:t>8.属于行政查询事项</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（四）无法提供</w:t>
            </w: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1.本机关不掌握相关政府信息</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shd w:val="clear"/>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2.没有现成信息需要另行制作</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3.补正后申请内容仍不明确</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shd w:val="clear"/>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（五）不予处理</w:t>
            </w: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1.信访举报投诉类申请</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2.重复申请</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shd w:val="clear"/>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3.要求提供公开出版物</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4.无正当理由大量反复申请</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shd w:val="clear"/>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仿宋" w:hAnsi="仿宋" w:eastAsia="仿宋" w:cs="仿宋"/>
                <w:sz w:val="24"/>
                <w:szCs w:val="24"/>
              </w:rPr>
            </w:pPr>
          </w:p>
        </w:tc>
        <w:tc>
          <w:tcPr>
            <w:tcW w:w="2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5.要求行政机关确认或重新出具已获取信息</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92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（六）其他处理</w:t>
            </w:r>
          </w:p>
        </w:tc>
        <w:tc>
          <w:tcPr>
            <w:tcW w:w="8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shd w:val="clear"/>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仿宋" w:hAnsi="仿宋" w:eastAsia="仿宋" w:cs="仿宋"/>
                <w:sz w:val="24"/>
                <w:szCs w:val="24"/>
              </w:rPr>
            </w:pPr>
          </w:p>
        </w:tc>
        <w:tc>
          <w:tcPr>
            <w:tcW w:w="2929"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（七）总计</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r>
        <w:tblPrEx>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napToGrid w:val="0"/>
              <w:spacing w:before="0" w:beforeAutospacing="1" w:after="0" w:afterAutospacing="1" w:line="30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四、结转下年度继续办理</w:t>
            </w:r>
          </w:p>
        </w:tc>
        <w:tc>
          <w:tcPr>
            <w:tcW w:w="8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7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9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6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bl>
    <w:p>
      <w:pPr>
        <w:keepNext w:val="0"/>
        <w:keepLines w:val="0"/>
        <w:widowControl/>
        <w:suppressLineNumbers w:val="0"/>
        <w:spacing w:before="0" w:beforeAutospacing="1" w:after="0" w:afterAutospacing="1" w:line="540" w:lineRule="exact"/>
        <w:ind w:left="0" w:right="0"/>
        <w:jc w:val="left"/>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bidi="ar"/>
        </w:rPr>
        <w:t>四、政府信息公开行政复议、行政诉讼情况</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840"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行政复议</w:t>
            </w:r>
          </w:p>
        </w:tc>
        <w:tc>
          <w:tcPr>
            <w:tcW w:w="5680" w:type="dxa"/>
            <w:gridSpan w:val="1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5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结果维护</w:t>
            </w:r>
          </w:p>
        </w:tc>
        <w:tc>
          <w:tcPr>
            <w:tcW w:w="56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结果纠正</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其他结果</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尚未审结</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总计</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color w:val="333333"/>
                <w:kern w:val="0"/>
                <w:sz w:val="24"/>
                <w:szCs w:val="24"/>
                <w:bdr w:val="none" w:color="auto" w:sz="0" w:space="0"/>
                <w:shd w:val="clear" w:fill="FFFFFF"/>
                <w:lang w:val="en-US" w:eastAsia="zh-CN" w:bidi="ar"/>
              </w:rPr>
              <w:t>未经复议直接起诉</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568" w:type="dxa"/>
            <w:vMerge w:val="continue"/>
            <w:tcBorders>
              <w:top w:val="nil"/>
              <w:left w:val="single" w:color="auto" w:sz="4" w:space="0"/>
              <w:bottom w:val="single" w:color="auto" w:sz="4" w:space="0"/>
              <w:right w:val="single" w:color="auto" w:sz="4" w:space="0"/>
            </w:tcBorders>
            <w:shd w:val="clear"/>
            <w:vAlign w:val="center"/>
          </w:tcPr>
          <w:p>
            <w:pPr>
              <w:rPr>
                <w:rFonts w:hint="eastAsia" w:ascii="仿宋" w:hAnsi="仿宋" w:eastAsia="仿宋" w:cs="仿宋"/>
                <w:sz w:val="24"/>
                <w:szCs w:val="24"/>
              </w:rPr>
            </w:pPr>
          </w:p>
        </w:tc>
        <w:tc>
          <w:tcPr>
            <w:tcW w:w="568" w:type="dxa"/>
            <w:vMerge w:val="continue"/>
            <w:tcBorders>
              <w:top w:val="nil"/>
              <w:left w:val="nil"/>
              <w:bottom w:val="single" w:color="auto" w:sz="4" w:space="0"/>
              <w:right w:val="single" w:color="auto" w:sz="4" w:space="0"/>
            </w:tcBorders>
            <w:shd w:val="clear"/>
            <w:vAlign w:val="center"/>
          </w:tcPr>
          <w:p>
            <w:pPr>
              <w:rPr>
                <w:rFonts w:hint="eastAsia" w:ascii="仿宋" w:hAnsi="仿宋" w:eastAsia="仿宋" w:cs="仿宋"/>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仿宋" w:hAnsi="仿宋" w:eastAsia="仿宋" w:cs="仿宋"/>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仿宋" w:hAnsi="仿宋" w:eastAsia="仿宋" w:cs="仿宋"/>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仿宋" w:hAnsi="仿宋" w:eastAsia="仿宋" w:cs="仿宋"/>
                <w:sz w:val="24"/>
                <w:szCs w:val="24"/>
              </w:rPr>
            </w:pP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结果维护</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结果纠正</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其他结果</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尚未审结</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总计</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结果维护</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结果纠正</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其他结果</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尚未审结</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1" w:after="0" w:afterAutospacing="1" w:line="300" w:lineRule="exact"/>
              <w:ind w:left="0" w:right="0"/>
              <w:jc w:val="center"/>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rPr>
                <w:rFonts w:hint="eastAsia" w:ascii="仿宋" w:hAnsi="仿宋" w:eastAsia="仿宋" w:cs="仿宋"/>
                <w:sz w:val="24"/>
                <w:szCs w:val="24"/>
              </w:rPr>
            </w:pPr>
            <w:r>
              <w:rPr>
                <w:rFonts w:hint="eastAsia" w:ascii="仿宋" w:hAnsi="仿宋" w:eastAsia="仿宋" w:cs="仿宋"/>
                <w:kern w:val="0"/>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仿宋" w:hAnsi="仿宋" w:eastAsia="仿宋" w:cs="仿宋"/>
          <w:sz w:val="24"/>
          <w:szCs w:val="24"/>
        </w:rPr>
      </w:pPr>
      <w:r>
        <w:rPr>
          <w:rFonts w:hint="eastAsia" w:ascii="仿宋" w:hAnsi="仿宋" w:eastAsia="仿宋" w:cs="仿宋"/>
          <w:b w:val="0"/>
          <w:bCs w:val="0"/>
          <w:i w:val="0"/>
          <w:iCs w:val="0"/>
          <w:caps w:val="0"/>
          <w:color w:val="333333"/>
          <w:spacing w:val="0"/>
          <w:sz w:val="24"/>
          <w:szCs w:val="24"/>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存在的主要问题：一是工作动态类信息公开发布不够及时，二是发展规划类信息公开重点不够突出，三是“两微一端”等新媒体传播作用发挥不够等。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下一步，我局将按照《条例》和市政府信息公开的相关要求，继续大力推进政府信息公开工作，主要是做好以下几方面工作：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一是不断强化对信息公开工作人员的理论培训和业务培训，提高工作人员信息公开业务水平和能力。二是紧紧围绕实施政府信息公开工作，多渠道、多形式加大信息公开力度，唱好主旋律，传播正能量。三是进一步完善政府信息公开各项规章制度，形成以制度管人、以制度谋事的长效机制，进一步规范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b w:val="0"/>
          <w:bCs w:val="0"/>
          <w:i w:val="0"/>
          <w:iCs w:val="0"/>
          <w:caps w:val="0"/>
          <w:color w:val="333333"/>
          <w:spacing w:val="0"/>
          <w:sz w:val="24"/>
          <w:szCs w:val="24"/>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bdr w:val="none" w:color="auto" w:sz="0" w:space="0"/>
          <w:shd w:val="clear" w:fill="FFFFFF"/>
        </w:rPr>
        <w:t>无。</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F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2021-04-14T03:19:05Z</dcterms:created>
  <dc:creator>LJC</dc:creator>
  <cp:lastModifiedBy>LJC</cp:lastModifiedBy>
  <dcterms:modified xsi:type="dcterms:W3CDTF">2021-04-14T03:19:45Z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67BCE72339D949808AA25FAFD13E7FEB</vt:lpwstr>
  </property>
</Properties>
</file>