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龙南市交通运输局2020年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龙南市交通运输局</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eastAsia="zh-CN"/>
        </w:rPr>
        <w:t>龙南市</w:t>
      </w:r>
      <w:r>
        <w:rPr>
          <w:rFonts w:hint="eastAsia" w:ascii="宋体" w:hAnsi="宋体" w:eastAsia="宋体" w:cs="宋体"/>
          <w:i w:val="0"/>
          <w:caps w:val="0"/>
          <w:color w:val="333333"/>
          <w:spacing w:val="0"/>
          <w:sz w:val="32"/>
          <w:szCs w:val="32"/>
        </w:rPr>
        <w:t>人民政府网站</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lang w:val="en-US" w:eastAsia="zh-CN"/>
        </w:rPr>
        <w:t>www.</w:t>
      </w:r>
      <w:r>
        <w:rPr>
          <w:rFonts w:hint="eastAsia" w:ascii="宋体" w:hAnsi="宋体" w:eastAsia="宋体" w:cs="宋体"/>
          <w:i w:val="0"/>
          <w:color w:val="333333"/>
          <w:spacing w:val="0"/>
          <w:sz w:val="32"/>
          <w:szCs w:val="32"/>
          <w:lang w:val="en-US" w:eastAsia="zh-CN"/>
        </w:rPr>
        <w:t>J</w:t>
      </w:r>
      <w:r>
        <w:rPr>
          <w:rFonts w:hint="eastAsia" w:ascii="宋体" w:hAnsi="宋体" w:eastAsia="宋体" w:cs="宋体"/>
          <w:i w:val="0"/>
          <w:caps w:val="0"/>
          <w:color w:val="333333"/>
          <w:spacing w:val="0"/>
          <w:sz w:val="32"/>
          <w:szCs w:val="32"/>
          <w:lang w:val="en-US" w:eastAsia="zh-CN"/>
        </w:rPr>
        <w:t>xln.gov.cn</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rPr>
        <w:t>下载。如对本报告有任何疑问，请与</w:t>
      </w:r>
      <w:r>
        <w:rPr>
          <w:rFonts w:hint="eastAsia" w:ascii="宋体" w:hAnsi="宋体" w:eastAsia="宋体" w:cs="宋体"/>
          <w:i w:val="0"/>
          <w:caps w:val="0"/>
          <w:color w:val="333333"/>
          <w:spacing w:val="0"/>
          <w:sz w:val="32"/>
          <w:szCs w:val="32"/>
          <w:lang w:val="en-US" w:eastAsia="zh-CN"/>
        </w:rPr>
        <w:t>龙南市交通运输局办公室</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eastAsia="zh-CN"/>
        </w:rPr>
        <w:t>龙翔大道与</w:t>
      </w:r>
      <w:r>
        <w:rPr>
          <w:rFonts w:hint="eastAsia" w:ascii="宋体" w:hAnsi="宋体" w:eastAsia="宋体" w:cs="宋体"/>
          <w:i w:val="0"/>
          <w:caps w:val="0"/>
          <w:color w:val="333333"/>
          <w:spacing w:val="0"/>
          <w:sz w:val="32"/>
          <w:szCs w:val="32"/>
          <w:lang w:val="en-US" w:eastAsia="zh-CN"/>
        </w:rPr>
        <w:t>105国道交汇处</w:t>
      </w:r>
      <w:r>
        <w:rPr>
          <w:rFonts w:hint="eastAsia" w:ascii="宋体" w:hAnsi="宋体" w:eastAsia="宋体" w:cs="宋体"/>
          <w:i w:val="0"/>
          <w:caps w:val="0"/>
          <w:color w:val="333333"/>
          <w:spacing w:val="0"/>
          <w:sz w:val="32"/>
          <w:szCs w:val="32"/>
        </w:rPr>
        <w:t>，电话：</w:t>
      </w:r>
      <w:r>
        <w:rPr>
          <w:rFonts w:hint="eastAsia" w:ascii="宋体" w:hAnsi="宋体" w:eastAsia="宋体" w:cs="宋体"/>
          <w:i w:val="0"/>
          <w:caps w:val="0"/>
          <w:color w:val="333333"/>
          <w:spacing w:val="0"/>
          <w:sz w:val="32"/>
          <w:szCs w:val="32"/>
          <w:lang w:val="en-US" w:eastAsia="zh-CN"/>
        </w:rPr>
        <w:t>3541113</w:t>
      </w:r>
      <w:r>
        <w:rPr>
          <w:rFonts w:hint="eastAsia" w:ascii="宋体" w:hAnsi="宋体" w:eastAsia="宋体" w:cs="宋体"/>
          <w:i w:val="0"/>
          <w:caps w:val="0"/>
          <w:color w:val="333333"/>
          <w:spacing w:val="0"/>
          <w:sz w:val="32"/>
          <w:szCs w:val="32"/>
        </w:rPr>
        <w:t>，邮编：</w:t>
      </w:r>
      <w:r>
        <w:rPr>
          <w:rFonts w:hint="eastAsia" w:ascii="宋体" w:hAnsi="宋体" w:eastAsia="宋体" w:cs="宋体"/>
          <w:i w:val="0"/>
          <w:caps w:val="0"/>
          <w:color w:val="333333"/>
          <w:spacing w:val="0"/>
          <w:sz w:val="32"/>
          <w:szCs w:val="32"/>
          <w:lang w:val="en-US" w:eastAsia="zh-CN"/>
        </w:rPr>
        <w:t>341700</w:t>
      </w:r>
      <w:r>
        <w:rPr>
          <w:rFonts w:hint="eastAsia" w:ascii="宋体" w:hAnsi="宋体" w:eastAsia="宋体" w:cs="宋体"/>
          <w:i w:val="0"/>
          <w:caps w:val="0"/>
          <w:color w:val="333333"/>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lang w:val="en-US" w:eastAsia="zh-CN"/>
        </w:rPr>
        <w:t>2020年</w:t>
      </w:r>
      <w:r>
        <w:rPr>
          <w:rFonts w:hint="eastAsia" w:ascii="宋体" w:hAnsi="宋体" w:eastAsia="宋体" w:cs="宋体"/>
          <w:i w:val="0"/>
          <w:caps w:val="0"/>
          <w:color w:val="333333"/>
          <w:spacing w:val="0"/>
          <w:sz w:val="32"/>
          <w:szCs w:val="32"/>
          <w:lang w:val="en-US" w:eastAsia="zh-CN"/>
        </w:rPr>
        <w:t>龙南市交通运输局</w:t>
      </w:r>
      <w:r>
        <w:rPr>
          <w:rFonts w:hint="eastAsia" w:ascii="宋体" w:hAnsi="宋体" w:eastAsia="宋体" w:cs="宋体"/>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2020年江西省政务公开工作要点》（赣府厅字</w:t>
      </w:r>
      <w:r>
        <w:rPr>
          <w:rFonts w:hint="eastAsia" w:ascii="仿宋_GB2312" w:hAnsi="仿宋_GB2312" w:eastAsia="仿宋_GB2312" w:cs="仿宋_GB2312"/>
          <w:i w:val="0"/>
          <w:caps w:val="0"/>
          <w:color w:val="333333"/>
          <w:spacing w:val="0"/>
          <w:sz w:val="32"/>
          <w:szCs w:val="32"/>
          <w:shd w:val="clear" w:fill="FFFFFF"/>
          <w:lang w:val="en-US" w:eastAsia="zh-CN"/>
        </w:rPr>
        <w:t>〔2020〕49号</w:t>
      </w:r>
      <w:r>
        <w:rPr>
          <w:rFonts w:hint="eastAsia" w:ascii="宋体" w:hAnsi="宋体" w:eastAsia="宋体" w:cs="宋体"/>
          <w:i w:val="0"/>
          <w:caps w:val="0"/>
          <w:color w:val="333333"/>
          <w:spacing w:val="0"/>
          <w:sz w:val="32"/>
          <w:szCs w:val="32"/>
          <w:shd w:val="clear" w:fill="FFFFFF"/>
          <w:lang w:val="en-US" w:eastAsia="zh-CN"/>
        </w:rPr>
        <w:t>）明确目标任务，紧紧围绕省委、省政府中心工作及社会群众关注关切，着力提升政府信息公开质量，推进拓宽政府信息公开渠道，不断增强政府信息公开实效。</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b/>
          <w:i w:val="0"/>
          <w:caps w:val="0"/>
          <w:color w:val="333333"/>
          <w:spacing w:val="0"/>
          <w:sz w:val="32"/>
          <w:szCs w:val="32"/>
          <w:shd w:val="clear" w:fill="FFFFFF"/>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主动公开政府信息情况</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1.决策公开力度持续加大。推进决策公开，加强政策出台前沟通，通过召开论证会、发送“征求意见函”等方式，全面、适时征求民意及各单位意见，充分保障人民群众的知情权、参与权和监督权。</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扎实落实管理公开。为落实行政主体责任,加强公共服务，我局结合实际，梳理权责清单，不断完善政务服务事项28项，行政执法事项9项；为进一步规范行政执法监管工作，我局开展了行政执法公示制度、执法全过程记录制度、重大执法决定法制审核制度试点工作，2020年以来，我局共组织人员开展安全生产检查155次，出动执法人员450余人次，检查企业163余家，下发整改通知书150余份，约谈企业15家，责令停产整顿企业1家，行业监管企业安全生产稳定，未发生各类安全事故。</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3.科学规范厘清服务事项。根据省市要求，配合做好全省统一行政权力清单梳理编制，及时承接省、市下放事项，组织人员对涉及我局的行政审批事项办事流程及服务指南进行规范调整，并在江西政务服务网站进行事项更新。</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4.着力提升政务服务能力。深入推进“一门”改革。持续推动政务服务事项只进一门办理。目前，我局各依申请类政务服务事项均在行政服务中心办理，确保企业群众办事只进“一门”，杜绝在单位和窗口间“两头跑”。</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5.持续推进执行公开规范化。围绕2020年龙南市《政府工作报告》重点工作目标任务，加大疫情防控、“六稳”“六保”政策措施的执行和落实情况公开，加强对环保督察、专项巡视和督查、审计及整改落实情况公开，积极公开问责情况，切实增强抓落实的执行力。依据“谁执法谁公示”的原则，严格落实行政执法公示制度，规范行政执法行为，强化事前公开，规范事中公示，加强事后公开。不断完善双随机“一单两库”，按要求制定随机抽查工作细则和年度检查计划。</w:t>
      </w:r>
    </w:p>
    <w:p>
      <w:pPr>
        <w:spacing w:line="540" w:lineRule="exact"/>
        <w:ind w:firstLine="640" w:firstLineChars="200"/>
        <w:rPr>
          <w:rFonts w:hint="eastAsia" w:ascii="宋体" w:hAnsi="宋体" w:eastAsia="宋体" w:cs="宋体"/>
          <w:i w:val="0"/>
          <w:caps w:val="0"/>
          <w:color w:val="333333"/>
          <w:spacing w:val="0"/>
          <w:sz w:val="32"/>
          <w:szCs w:val="32"/>
          <w:shd w:val="clear" w:fill="FFFFFF"/>
          <w:lang w:val="en-US"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6、重点领域政府信息公开情况。针对公众关切的热点、难点问题，主动、及时、全面、准确地发布权威政府信息，特别是有关工信工作的重要会议、重要活动、重要决策部署，经济运行和社会发展重要动态等方面的信息，以增进公众对工信工作的了解。强化财政预决算信息公开，在“财政信息”栏目及时公开我局财政预决算收支情况，主动接受社会监督。</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2020年度，我局无依申请公开的政府信息。</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1.政务公开规范化标准化建设。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加大数据公开力度。我局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570条，其中，政务动态510条，领导之窗信息10条、政策文件类信息10条，政策解读类信息财政预决算类12条，计划规划类7条，公告公示21条。</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3、规范信息审核发布机制。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val="en-US" w:eastAsia="zh-CN"/>
        </w:rPr>
      </w:pP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4、规范性文件清理。为进一步推进“放管服”改革，推动法治政府建设，根据《法治政府建设实施纲要》和省政府有关规范性文件专项清理部署要求进行全面清理核对，2020年度我局没有印发规范性文件。</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1、政府网站。市民通过市政府网站的“政府信息公开”栏目可查看我局主动公开的政府信息。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2、其他平台。我局通过局微信公众号及时公开需要社会公众广泛知晓的政府信息。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val="en-US"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val="en-US" w:eastAsia="zh-CN"/>
        </w:rPr>
        <w:t>严格落实把政务公开纳入绩效工作考核，明确重点，压实责任：业务培训方面：积极参加上级组织的政务公开学习培训，加强政务公开队伍建设，提高政务公开工作人员工作能力，提升政务公开政务服务工作水平。工作考核方面：扎实开展政务公开每月定期排查，全面排查存在的问题并完成整改，加强对各股室信息公开工作的督导。社会评议方面：我局把监督评议纳入日常工作实行常态管理，通过设立投诉举报电话、设立群众意见箱等，接受群众监督评议。责任追究方面：我局未发生因政府信息公开工作而受到责任追究的案件。</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34</w:t>
            </w:r>
            <w:bookmarkStart w:id="0" w:name="_GoBack"/>
            <w:bookmarkEnd w:id="0"/>
          </w:p>
        </w:tc>
        <w:tc>
          <w:tcPr>
            <w:tcW w:w="202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-6</w:t>
            </w:r>
          </w:p>
        </w:tc>
        <w:tc>
          <w:tcPr>
            <w:tcW w:w="2295" w:type="dxa"/>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left"/>
              <w:rPr>
                <w:rFonts w:ascii="仿宋" w:hAnsi="仿宋" w:eastAsia="仿宋" w:cs="仿宋"/>
                <w:color w:val="FF0000"/>
                <w:szCs w:val="21"/>
              </w:rPr>
            </w:pPr>
          </w:p>
        </w:tc>
        <w:tc>
          <w:tcPr>
            <w:tcW w:w="2025" w:type="dxa"/>
            <w:shd w:val="clear" w:color="auto" w:fill="auto"/>
          </w:tcPr>
          <w:p>
            <w:pPr>
              <w:spacing w:line="460" w:lineRule="exact"/>
              <w:jc w:val="left"/>
              <w:rPr>
                <w:rFonts w:ascii="仿宋" w:hAnsi="仿宋" w:eastAsia="仿宋" w:cs="仿宋"/>
                <w:color w:val="FF0000"/>
                <w:szCs w:val="21"/>
              </w:rPr>
            </w:pPr>
          </w:p>
        </w:tc>
        <w:tc>
          <w:tcPr>
            <w:tcW w:w="2295" w:type="dxa"/>
            <w:shd w:val="clear" w:color="auto" w:fill="auto"/>
          </w:tcPr>
          <w:p>
            <w:pPr>
              <w:spacing w:line="460" w:lineRule="exact"/>
              <w:jc w:val="left"/>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1</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left"/>
              <w:rPr>
                <w:rFonts w:ascii="仿宋" w:hAnsi="仿宋" w:eastAsia="仿宋" w:cs="仿宋"/>
                <w:color w:val="FF0000"/>
                <w:szCs w:val="21"/>
              </w:rPr>
            </w:pPr>
          </w:p>
        </w:tc>
        <w:tc>
          <w:tcPr>
            <w:tcW w:w="2025" w:type="dxa"/>
            <w:shd w:val="clear" w:color="auto" w:fill="auto"/>
          </w:tcPr>
          <w:p>
            <w:pPr>
              <w:spacing w:line="460" w:lineRule="exact"/>
              <w:jc w:val="left"/>
              <w:rPr>
                <w:rFonts w:ascii="仿宋" w:hAnsi="仿宋" w:eastAsia="仿宋" w:cs="仿宋"/>
                <w:color w:val="FF0000"/>
                <w:szCs w:val="21"/>
              </w:rPr>
            </w:pPr>
          </w:p>
        </w:tc>
        <w:tc>
          <w:tcPr>
            <w:tcW w:w="2295" w:type="dxa"/>
            <w:shd w:val="clear" w:color="auto" w:fill="auto"/>
          </w:tcPr>
          <w:p>
            <w:pPr>
              <w:spacing w:line="460" w:lineRule="exact"/>
              <w:jc w:val="left"/>
              <w:rPr>
                <w:rFonts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4320" w:type="dxa"/>
            <w:gridSpan w:val="2"/>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eastAsia="zh-CN"/>
              </w:rPr>
              <w:t>无</w:t>
            </w:r>
          </w:p>
        </w:tc>
        <w:tc>
          <w:tcPr>
            <w:tcW w:w="4320" w:type="dxa"/>
            <w:gridSpan w:val="2"/>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rPr>
            </w:pPr>
            <w:r>
              <w:rPr>
                <w:rFonts w:hint="eastAsia"/>
                <w:kern w:val="0"/>
                <w:sz w:val="21"/>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10" w:type="dxa"/>
            <w:vMerge w:val="continue"/>
            <w:tcBorders>
              <w:top w:val="nil"/>
              <w:left w:val="nil"/>
              <w:bottom w:val="single" w:color="auto" w:sz="8" w:space="0"/>
              <w:right w:val="single" w:color="auto" w:sz="8" w:space="0"/>
            </w:tcBorders>
            <w:vAlign w:val="center"/>
          </w:tcPr>
          <w:p>
            <w:pPr>
              <w:snapToGrid w:val="0"/>
              <w:spacing w:line="300" w:lineRule="exact"/>
              <w:jc w:val="left"/>
              <w:rPr>
                <w:rFonts w:cs="黑体"/>
                <w:sz w:val="21"/>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rPr>
            </w:pPr>
            <w:r>
              <w:rPr>
                <w:rFonts w:hint="eastAsia"/>
                <w:kern w:val="0"/>
                <w:sz w:val="21"/>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6"/>
                <w:sz w:val="21"/>
                <w:szCs w:val="21"/>
              </w:rPr>
            </w:pPr>
            <w:r>
              <w:rPr>
                <w:rFonts w:hint="eastAsia"/>
                <w:spacing w:val="-6"/>
                <w:kern w:val="0"/>
                <w:sz w:val="21"/>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黑体"/>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w:t>
            </w:r>
            <w:r>
              <w:rPr>
                <w:rFonts w:hint="eastAsia" w:eastAsia="楷体"/>
                <w:spacing w:val="-2"/>
                <w:kern w:val="0"/>
                <w:sz w:val="21"/>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eastAsia="楷体" w:cs="黑体"/>
                <w:sz w:val="21"/>
                <w:szCs w:val="21"/>
              </w:rPr>
            </w:pPr>
            <w:r>
              <w:rPr>
                <w:rFonts w:hint="eastAsia" w:eastAsia="楷体"/>
                <w:kern w:val="0"/>
                <w:sz w:val="21"/>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pacing w:val="-4"/>
                <w:sz w:val="21"/>
                <w:szCs w:val="21"/>
              </w:rPr>
            </w:pPr>
            <w:r>
              <w:rPr>
                <w:rFonts w:hint="eastAsia" w:eastAsia="楷体"/>
                <w:spacing w:val="-4"/>
                <w:kern w:val="0"/>
                <w:sz w:val="21"/>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cs="Calibri"/>
                <w:kern w:val="0"/>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850" w:type="dxa"/>
            <w:vMerge w:val="continue"/>
            <w:tcBorders>
              <w:top w:val="nil"/>
              <w:left w:val="nil"/>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left"/>
              <w:rPr>
                <w:rFonts w:cs="黑体"/>
                <w:sz w:val="21"/>
                <w:szCs w:val="21"/>
              </w:rPr>
            </w:pPr>
            <w:r>
              <w:rPr>
                <w:rFonts w:hint="eastAsia" w:eastAsia="楷体"/>
                <w:kern w:val="0"/>
                <w:sz w:val="21"/>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widowControl/>
              <w:snapToGrid w:val="0"/>
              <w:spacing w:line="300" w:lineRule="exact"/>
              <w:jc w:val="left"/>
              <w:rPr>
                <w:rFonts w:cs="黑体"/>
                <w:sz w:val="21"/>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eastAsia="楷体"/>
                <w:kern w:val="0"/>
                <w:sz w:val="21"/>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autoSpaceDE w:val="0"/>
              <w:snapToGrid w:val="0"/>
              <w:spacing w:line="300" w:lineRule="exact"/>
              <w:jc w:val="left"/>
              <w:rPr>
                <w:rFonts w:cs="黑体"/>
                <w:sz w:val="21"/>
                <w:szCs w:val="21"/>
              </w:rPr>
            </w:pPr>
            <w:r>
              <w:rPr>
                <w:rFonts w:hint="eastAsia"/>
                <w:kern w:val="0"/>
                <w:sz w:val="21"/>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hint="eastAsia" w:cs="黑体" w:eastAsiaTheme="minorEastAsia"/>
                <w:sz w:val="21"/>
                <w:szCs w:val="21"/>
                <w:lang w:val="en-US" w:eastAsia="zh-CN"/>
              </w:rPr>
            </w:pPr>
            <w:r>
              <w:rPr>
                <w:rFonts w:hint="eastAsia"/>
                <w:sz w:val="21"/>
                <w:szCs w:val="21"/>
                <w:lang w:val="en-US" w:eastAsia="zh-CN"/>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utoSpaceDE w:val="0"/>
              <w:snapToGrid w:val="0"/>
              <w:spacing w:line="300" w:lineRule="exact"/>
              <w:jc w:val="center"/>
              <w:rPr>
                <w:rFonts w:cs="黑体"/>
                <w:sz w:val="21"/>
                <w:szCs w:val="21"/>
                <w:lang w:val="en-US"/>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snapToGrid w:val="0"/>
              <w:spacing w:line="300" w:lineRule="exact"/>
              <w:jc w:val="center"/>
              <w:rPr>
                <w:rFonts w:cs="黑体"/>
                <w:sz w:val="21"/>
                <w:szCs w:val="21"/>
                <w:lang w:val="en-US"/>
              </w:rPr>
            </w:pP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r>
              <w:rPr>
                <w:rFonts w:hint="eastAsia" w:ascii="仿宋" w:hAnsi="仿宋" w:eastAsia="仿宋" w:cs="仿宋"/>
                <w:b/>
                <w:color w:val="FF0000"/>
                <w:sz w:val="24"/>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color w:val="FF0000"/>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eastAsia="zh-CN"/>
        </w:rPr>
        <w:t>（一）存在问题。2020年，开化县交通运输局政府信息公开工作在上级主管部门的正确领导下，做了大量工作，但标准还不够高，内容还不够全面，公开形式的便民性在今后的工作中需要进一步提高。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宋体" w:hAnsi="宋体" w:eastAsia="宋体" w:cs="宋体"/>
          <w:i w:val="0"/>
          <w:caps w:val="0"/>
          <w:color w:val="333333"/>
          <w:spacing w:val="0"/>
          <w:sz w:val="32"/>
          <w:szCs w:val="32"/>
          <w:shd w:val="clear" w:fill="FFFFFF"/>
          <w:lang w:eastAsia="zh-CN"/>
        </w:rPr>
        <w:t>（二）改进措施。按照《条例》的规定和县政府信息公开工作要求，2021年将主要做好以下几方面工作：一是加强保密审查，扩展公开范围。对照《条例》的具体要求，认真清理政府信息公开事项，查漏补缺，确保应公开的政务信息全部依法公开。同时，严把质量关、保密审查关，依据有关法律、法规严格审核公开内容，确保政府信息公开不影响国家安全、公共安全、经济安全和社会稳定，真正体现公开、公平、公正。二是进一步拓宽信息公开途径。通过微博、微信等多种方式加大交通方面的政策宣传力度，进一步细化信息公开工作流程，拓宽公开渠道，确保操作简便明了，切实做到便民利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r>
        <w:rPr>
          <w:rFonts w:hint="eastAsia" w:ascii="宋体" w:hAnsi="宋体" w:eastAsia="宋体" w:cs="宋体"/>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235C"/>
    <w:rsid w:val="066F4592"/>
    <w:rsid w:val="072F4BA5"/>
    <w:rsid w:val="0F42566A"/>
    <w:rsid w:val="0FE32618"/>
    <w:rsid w:val="17534F7D"/>
    <w:rsid w:val="1ADA1C54"/>
    <w:rsid w:val="1B931963"/>
    <w:rsid w:val="1F335C24"/>
    <w:rsid w:val="1FF04F01"/>
    <w:rsid w:val="23B06487"/>
    <w:rsid w:val="2480713E"/>
    <w:rsid w:val="3E246293"/>
    <w:rsid w:val="42E4523A"/>
    <w:rsid w:val="445F4C62"/>
    <w:rsid w:val="508E7A77"/>
    <w:rsid w:val="519D4381"/>
    <w:rsid w:val="566E50F8"/>
    <w:rsid w:val="56857A37"/>
    <w:rsid w:val="5FCE6A83"/>
    <w:rsid w:val="6EB526D3"/>
    <w:rsid w:val="6EB66331"/>
    <w:rsid w:val="6EC41F3F"/>
    <w:rsid w:val="73D43C0E"/>
    <w:rsid w:val="7B440FF1"/>
    <w:rsid w:val="7B630824"/>
    <w:rsid w:val="7D7C7DE7"/>
    <w:rsid w:val="7E33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adminisarator</cp:lastModifiedBy>
  <dcterms:modified xsi:type="dcterms:W3CDTF">2021-02-05T09:32:22Z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