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0" w:beforeAutospacing="0" w:after="0" w:afterAutospacing="0" w:line="560" w:lineRule="atLeast"/>
        <w:ind w:left="0" w:right="0" w:firstLine="64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统计局20</w:t>
      </w:r>
      <w:bookmarkStart w:id="0" w:name="_GoBack"/>
      <w:bookmarkEnd w:id="0"/>
      <w:r>
        <w:rPr>
          <w:rFonts w:hint="eastAsia" w:ascii="方正小标宋简体" w:hAnsi="方正小标宋简体" w:eastAsia="方正小标宋简体" w:cs="方正小标宋简体"/>
          <w:sz w:val="36"/>
          <w:szCs w:val="36"/>
        </w:rPr>
        <w:t>20年政府信息公开工作年度报告</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本报告依据《中华人民共和国政府信息公开条例》（国务院令第711号，以下简称新《条例》）和《国务院办公厅政府信息与政务公开办公室关于政府信息公开工作年度报告有关事项的通知》（国办公开办函〔2019〕60号）要求，由统计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http://www.jxln.gov.cn/）下载。如对本报告有任何疑问，请与统计局办公室联系（地址：行政中心729室，电话：3511126，邮编：340783）。</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40" w:beforeAutospacing="0" w:after="0" w:afterAutospacing="0" w:line="240" w:lineRule="auto"/>
        <w:ind w:left="0" w:right="0" w:firstLine="641"/>
        <w:jc w:val="left"/>
        <w:textAlignment w:val="auto"/>
        <w:rPr>
          <w:rFonts w:ascii="黑体" w:hAnsi="宋体" w:eastAsia="黑体" w:cs="黑体"/>
          <w:b/>
          <w:bCs/>
          <w:sz w:val="28"/>
          <w:szCs w:val="28"/>
        </w:rPr>
      </w:pPr>
      <w:r>
        <w:rPr>
          <w:rFonts w:ascii="黑体" w:hAnsi="宋体" w:eastAsia="黑体" w:cs="黑体"/>
          <w:b/>
          <w:bCs/>
          <w:sz w:val="28"/>
          <w:szCs w:val="28"/>
        </w:rPr>
        <w:t>总体情况</w:t>
      </w:r>
    </w:p>
    <w:p>
      <w:pPr>
        <w:pStyle w:val="2"/>
        <w:keepNext w:val="0"/>
        <w:keepLines w:val="0"/>
        <w:widowControl/>
        <w:suppressLineNumbers w:val="0"/>
        <w:spacing w:before="40" w:beforeAutospacing="0" w:after="0" w:afterAutospacing="0" w:line="560" w:lineRule="atLeast"/>
        <w:ind w:left="0" w:right="0" w:firstLine="640"/>
        <w:jc w:val="left"/>
        <w:rPr>
          <w:sz w:val="24"/>
          <w:szCs w:val="24"/>
        </w:rPr>
      </w:pPr>
      <w:r>
        <w:rPr>
          <w:sz w:val="24"/>
          <w:szCs w:val="24"/>
        </w:rPr>
        <w:t>2020年统计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认真贯彻落实政府信息公开，将推进政府信息公开作为提升统计服务水平、转变工作作风、促进工作落实的重要举措。着力于政务信息公开化、制度化、规范化，努力保障人民群众的知情权、参与权和监督权，积极推进信息公开工作的深入开展。</w:t>
      </w:r>
    </w:p>
    <w:p>
      <w:pPr>
        <w:pStyle w:val="2"/>
        <w:keepNext w:val="0"/>
        <w:keepLines w:val="0"/>
        <w:widowControl/>
        <w:suppressLineNumbers w:val="0"/>
        <w:spacing w:before="40" w:beforeAutospacing="0" w:after="0" w:afterAutospacing="0" w:line="560" w:lineRule="atLeast"/>
        <w:ind w:left="0" w:right="0" w:firstLine="640"/>
        <w:jc w:val="left"/>
      </w:pPr>
      <w:r>
        <w:rPr>
          <w:rFonts w:hint="eastAsia"/>
          <w:sz w:val="24"/>
          <w:szCs w:val="24"/>
          <w:lang w:eastAsia="zh-CN"/>
        </w:rPr>
        <w:t>（</w:t>
      </w:r>
      <w:r>
        <w:rPr>
          <w:rFonts w:hint="eastAsia"/>
          <w:sz w:val="24"/>
          <w:szCs w:val="24"/>
          <w:lang w:val="en-US" w:eastAsia="zh-CN"/>
        </w:rPr>
        <w:t>一</w:t>
      </w:r>
      <w:r>
        <w:rPr>
          <w:rFonts w:hint="eastAsia"/>
          <w:sz w:val="24"/>
          <w:szCs w:val="24"/>
          <w:lang w:eastAsia="zh-CN"/>
        </w:rPr>
        <w:t>）</w:t>
      </w:r>
      <w:r>
        <w:rPr>
          <w:sz w:val="24"/>
          <w:szCs w:val="24"/>
        </w:rPr>
        <w:t>主动公开情况</w:t>
      </w:r>
      <w:r>
        <w:rPr>
          <w:sz w:val="32"/>
          <w:szCs w:val="32"/>
        </w:rPr>
        <w:br w:type="textWrapping"/>
      </w:r>
      <w:r>
        <w:rPr>
          <w:sz w:val="24"/>
          <w:szCs w:val="24"/>
        </w:rPr>
        <w:t>  围绕“六稳”“六保”目标，2020年，我局积极践行新发展理念，认真落实“六稳”、“六保”和高质量发展要求，克服疫情影响，经济实现平稳较快较好发展。龙南市完成地区生产总值171.5亿元，同比增长4.5%；完成规模以上工业增加值增速4.9%；固定资产投资增速8.02%；社会消费品零售总额增速3.0%；限额以上社会消费品零售额13.8%；实现财政总收入增速1.15%；一般公共预算收入增速1.05%；一般公共预算支出增速3.5%；实际利用外资增速7.9%；实现省外项目资金增速9.34%；城镇居民人均可支配收入增速6.6%；农村居民人均可支配收入7.2%。</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信息发布公开重点围绕全市生产总值（GDP）增长、农业生产平稳、工业生产稳步回升、服务业平稳恢复等方面，对社会公众提供必要及时的统计数据信息。</w:t>
      </w:r>
    </w:p>
    <w:p>
      <w:pPr>
        <w:pStyle w:val="2"/>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560" w:lineRule="atLeast"/>
        <w:ind w:left="0" w:right="0" w:firstLine="480" w:firstLineChars="200"/>
        <w:jc w:val="left"/>
        <w:textAlignment w:val="auto"/>
      </w:pPr>
      <w:r>
        <w:rPr>
          <w:rFonts w:hint="eastAsia"/>
          <w:sz w:val="24"/>
          <w:szCs w:val="24"/>
          <w:lang w:eastAsia="zh-CN"/>
        </w:rPr>
        <w:t>（</w:t>
      </w:r>
      <w:r>
        <w:rPr>
          <w:rFonts w:hint="eastAsia"/>
          <w:sz w:val="24"/>
          <w:szCs w:val="24"/>
          <w:lang w:val="en-US" w:eastAsia="zh-CN"/>
        </w:rPr>
        <w:t>二</w:t>
      </w:r>
      <w:r>
        <w:rPr>
          <w:rFonts w:hint="eastAsia"/>
          <w:sz w:val="24"/>
          <w:szCs w:val="24"/>
          <w:lang w:eastAsia="zh-CN"/>
        </w:rPr>
        <w:t>）</w:t>
      </w:r>
      <w:r>
        <w:rPr>
          <w:sz w:val="24"/>
          <w:szCs w:val="24"/>
        </w:rPr>
        <w:t>加强经济政策解读。</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2020年，面对突如其来的新冠肺炎疫情影响和复杂多变的国内外环境，经济运行发生前所未有的变化，对统计服务提出了更高的要求。统计局紧紧围绕全市经济中心工作，坚持不懈紧盯经济发展重点、难点和趋势变化，深入开展统计分析和统计服务，着力为全市做好“六稳”工作、全面落实“六保”任务和实现“三个圆满收官”提供坚实的统计支撑。做好日常统计分析信息、统计数据、分析等发布工作。</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（三）健全制度，规范信息公开</w:t>
      </w:r>
    </w:p>
    <w:p>
      <w:pPr>
        <w:pStyle w:val="2"/>
        <w:keepNext w:val="0"/>
        <w:keepLines w:val="0"/>
        <w:widowControl/>
        <w:suppressLineNumbers w:val="0"/>
        <w:spacing w:before="40" w:beforeAutospacing="0" w:after="0" w:afterAutospacing="0" w:line="560" w:lineRule="atLeast"/>
        <w:ind w:left="0" w:right="0" w:firstLine="640"/>
        <w:jc w:val="left"/>
        <w:rPr>
          <w:rFonts w:hint="eastAsia" w:ascii="黑体" w:hAnsi="宋体" w:eastAsia="黑体" w:cs="黑体"/>
          <w:b/>
          <w:bCs/>
          <w:kern w:val="0"/>
          <w:sz w:val="28"/>
          <w:szCs w:val="28"/>
          <w:lang w:val="en-US" w:eastAsia="zh-CN" w:bidi="ar"/>
        </w:rPr>
      </w:pPr>
      <w:r>
        <w:rPr>
          <w:sz w:val="24"/>
          <w:szCs w:val="24"/>
        </w:rPr>
        <w:t>制定了相关工作制度，明确岗位与相关人员职责，完善考核评议办法及评价、激励机制，定期对政务公开工作开展检查、评议、考核;建立保密审查制度，按照“谁提供，谁审核，谁负责”的原则，明确保密审查的职责分工、审查程序和责任追究办法;同时对外公布监督电话、信箱、电子邮箱，形成良好的舆论监督氛围，保证了公开信息的准确性、权威性和时效性。</w:t>
      </w:r>
    </w:p>
    <w:p>
      <w:pPr>
        <w:keepNext w:val="0"/>
        <w:keepLines w:val="0"/>
        <w:widowControl/>
        <w:suppressLineNumbers w:val="0"/>
        <w:spacing w:before="0" w:beforeAutospacing="1" w:after="0" w:afterAutospacing="1" w:line="540" w:lineRule="atLeast"/>
        <w:ind w:left="0" w:right="0" w:firstLine="643"/>
        <w:jc w:val="left"/>
        <w:rPr>
          <w:rFonts w:hint="eastAsia" w:ascii="黑体" w:hAnsi="宋体" w:eastAsia="黑体" w:cs="黑体"/>
          <w:b/>
          <w:bCs/>
          <w:kern w:val="0"/>
          <w:sz w:val="28"/>
          <w:szCs w:val="28"/>
          <w:lang w:val="en-US" w:eastAsia="zh-CN" w:bidi="ar"/>
        </w:rPr>
      </w:pPr>
    </w:p>
    <w:p>
      <w:pPr>
        <w:keepNext w:val="0"/>
        <w:keepLines w:val="0"/>
        <w:widowControl/>
        <w:suppressLineNumbers w:val="0"/>
        <w:spacing w:before="0" w:beforeAutospacing="1" w:after="0" w:afterAutospacing="1" w:line="540" w:lineRule="atLeast"/>
        <w:ind w:left="0" w:right="0" w:firstLine="643"/>
        <w:jc w:val="left"/>
        <w:rPr>
          <w:rFonts w:hint="eastAsia" w:ascii="黑体" w:hAnsi="宋体" w:eastAsia="黑体" w:cs="黑体"/>
          <w:b/>
          <w:bCs/>
          <w:kern w:val="0"/>
          <w:sz w:val="28"/>
          <w:szCs w:val="28"/>
          <w:lang w:val="en-US" w:eastAsia="zh-CN" w:bidi="ar"/>
        </w:rPr>
      </w:pPr>
    </w:p>
    <w:p>
      <w:pPr>
        <w:keepNext w:val="0"/>
        <w:keepLines w:val="0"/>
        <w:widowControl/>
        <w:suppressLineNumbers w:val="0"/>
        <w:spacing w:before="0" w:beforeAutospacing="1" w:after="0" w:afterAutospacing="1" w:line="540" w:lineRule="atLeast"/>
        <w:ind w:left="0" w:right="0" w:firstLine="643"/>
        <w:jc w:val="left"/>
      </w:pPr>
      <w:r>
        <w:rPr>
          <w:rFonts w:hint="eastAsia" w:ascii="黑体" w:hAnsi="宋体" w:eastAsia="黑体" w:cs="黑体"/>
          <w:b/>
          <w:bCs/>
          <w:kern w:val="0"/>
          <w:sz w:val="28"/>
          <w:szCs w:val="28"/>
          <w:lang w:val="en-US" w:eastAsia="zh-CN" w:bidi="ar"/>
        </w:rPr>
        <w:t>二、主动公开政府信息情况</w:t>
      </w:r>
    </w:p>
    <w:tbl>
      <w:tblP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ascii="仿宋" w:hAnsi="仿宋" w:eastAsia="仿宋" w:cs="仿宋"/>
                <w:kern w:val="2"/>
                <w:sz w:val="24"/>
                <w:szCs w:val="24"/>
                <w:bdr w:val="none" w:color="auto" w:sz="0" w:space="0"/>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8" w:space="0"/>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本年新制作数量</w:t>
            </w:r>
          </w:p>
        </w:tc>
        <w:tc>
          <w:tcPr>
            <w:tcW w:w="2025" w:type="dxa"/>
            <w:tcBorders>
              <w:top w:val="single" w:color="auto" w:sz="8" w:space="0"/>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本年新公开数量</w:t>
            </w:r>
          </w:p>
        </w:tc>
        <w:tc>
          <w:tcPr>
            <w:tcW w:w="2295" w:type="dxa"/>
            <w:tcBorders>
              <w:top w:val="single" w:color="auto" w:sz="8" w:space="0"/>
              <w:left w:val="nil"/>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规    章</w:t>
            </w:r>
          </w:p>
        </w:tc>
        <w:tc>
          <w:tcPr>
            <w:tcW w:w="2460"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025"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295" w:type="dxa"/>
            <w:tcBorders>
              <w:top w:val="single" w:color="auto" w:sz="4" w:space="0"/>
              <w:left w:val="nil"/>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4" w:space="0"/>
              <w:bottom w:val="single" w:color="auto" w:sz="4"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规范性文件（本单位制发的）</w:t>
            </w:r>
          </w:p>
        </w:tc>
        <w:tc>
          <w:tcPr>
            <w:tcW w:w="2460" w:type="dxa"/>
            <w:tcBorders>
              <w:top w:val="nil"/>
              <w:left w:val="nil"/>
              <w:bottom w:val="single" w:color="auto" w:sz="4"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025" w:type="dxa"/>
            <w:tcBorders>
              <w:top w:val="nil"/>
              <w:left w:val="nil"/>
              <w:bottom w:val="single" w:color="auto" w:sz="4"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2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上一年项目数量</w:t>
            </w:r>
          </w:p>
        </w:tc>
        <w:tc>
          <w:tcPr>
            <w:tcW w:w="2025"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本年增/减</w:t>
            </w:r>
          </w:p>
        </w:tc>
        <w:tc>
          <w:tcPr>
            <w:tcW w:w="2295"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行政许可</w:t>
            </w:r>
          </w:p>
        </w:tc>
        <w:tc>
          <w:tcPr>
            <w:tcW w:w="246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02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29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其他对外管理服务事项</w:t>
            </w:r>
          </w:p>
        </w:tc>
        <w:tc>
          <w:tcPr>
            <w:tcW w:w="246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02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29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上一年项目数量</w:t>
            </w:r>
          </w:p>
        </w:tc>
        <w:tc>
          <w:tcPr>
            <w:tcW w:w="2025"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本年增/减</w:t>
            </w:r>
          </w:p>
        </w:tc>
        <w:tc>
          <w:tcPr>
            <w:tcW w:w="2295"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行政处罚</w:t>
            </w:r>
          </w:p>
        </w:tc>
        <w:tc>
          <w:tcPr>
            <w:tcW w:w="246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02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29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行政强制</w:t>
            </w:r>
          </w:p>
        </w:tc>
        <w:tc>
          <w:tcPr>
            <w:tcW w:w="246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02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229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上一年项目数量</w:t>
            </w:r>
          </w:p>
        </w:tc>
        <w:tc>
          <w:tcPr>
            <w:tcW w:w="4320" w:type="dxa"/>
            <w:gridSpan w:val="2"/>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行政事业性收费</w:t>
            </w:r>
          </w:p>
        </w:tc>
        <w:tc>
          <w:tcPr>
            <w:tcW w:w="2460"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4320"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信息内容</w:t>
            </w:r>
          </w:p>
        </w:tc>
        <w:tc>
          <w:tcPr>
            <w:tcW w:w="2460"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采购项目数量</w:t>
            </w:r>
          </w:p>
        </w:tc>
        <w:tc>
          <w:tcPr>
            <w:tcW w:w="4320" w:type="dxa"/>
            <w:gridSpan w:val="2"/>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政府集中采购</w:t>
            </w:r>
          </w:p>
        </w:tc>
        <w:tc>
          <w:tcPr>
            <w:tcW w:w="2460"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295942元</w:t>
            </w:r>
          </w:p>
        </w:tc>
        <w:tc>
          <w:tcPr>
            <w:tcW w:w="4320"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460" w:lineRule="atLeast"/>
              <w:ind w:left="0" w:right="0"/>
              <w:jc w:val="left"/>
            </w:pPr>
            <w:r>
              <w:rPr>
                <w:rFonts w:hint="eastAsia" w:ascii="仿宋" w:hAnsi="仿宋" w:eastAsia="仿宋" w:cs="仿宋"/>
                <w:kern w:val="2"/>
                <w:sz w:val="24"/>
                <w:szCs w:val="24"/>
                <w:bdr w:val="none" w:color="auto" w:sz="0" w:space="0"/>
                <w:lang w:val="en-US" w:eastAsia="zh-CN" w:bidi="ar"/>
              </w:rPr>
              <w:t>1282570.4元</w:t>
            </w:r>
          </w:p>
        </w:tc>
      </w:tr>
    </w:tbl>
    <w:p>
      <w:pPr>
        <w:keepNext w:val="0"/>
        <w:keepLines w:val="0"/>
        <w:widowControl/>
        <w:suppressLineNumbers w:val="0"/>
        <w:spacing w:before="0" w:beforeAutospacing="1" w:after="0" w:afterAutospacing="1" w:line="540" w:lineRule="atLeast"/>
        <w:ind w:left="0" w:right="0"/>
        <w:jc w:val="left"/>
      </w:pPr>
      <w:r>
        <w:rPr>
          <w:rFonts w:ascii="仿宋_GB2312" w:hAnsi="仿宋" w:eastAsia="仿宋_GB2312" w:cs="仿宋"/>
          <w:b/>
          <w:bCs/>
          <w:kern w:val="2"/>
          <w:sz w:val="24"/>
          <w:szCs w:val="24"/>
          <w:lang w:val="en-US" w:eastAsia="zh-CN" w:bidi="ar"/>
        </w:rPr>
        <w:t> </w:t>
      </w:r>
      <w:r>
        <w:rPr>
          <w:rFonts w:hint="eastAsia" w:ascii="仿宋_GB2312" w:hAnsi="仿宋" w:eastAsia="仿宋_GB2312" w:cs="仿宋"/>
          <w:b/>
          <w:bCs/>
          <w:kern w:val="2"/>
          <w:sz w:val="24"/>
          <w:szCs w:val="24"/>
          <w:lang w:val="en-US" w:eastAsia="zh-CN" w:bidi="ar"/>
        </w:rPr>
        <w:t xml:space="preserve">  </w:t>
      </w:r>
      <w:r>
        <w:rPr>
          <w:rFonts w:hint="eastAsia" w:ascii="黑体" w:hAnsi="宋体" w:eastAsia="黑体" w:cs="黑体"/>
          <w:b/>
          <w:bCs/>
          <w:kern w:val="0"/>
          <w:sz w:val="28"/>
          <w:szCs w:val="28"/>
          <w:lang w:val="en-US" w:eastAsia="zh-CN" w:bidi="ar"/>
        </w:rPr>
        <w:t>三、收到和处理政府信息公开申请情况</w:t>
      </w:r>
    </w:p>
    <w:tbl>
      <w:tblPr>
        <w:tblW w:w="9259" w:type="dxa"/>
        <w:tblInd w:w="0" w:type="dxa"/>
        <w:shd w:val="clear"/>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shd w:val="clear"/>
          <w:tblCellMar>
            <w:top w:w="0" w:type="dxa"/>
            <w:left w:w="0" w:type="dxa"/>
            <w:bottom w:w="0" w:type="dxa"/>
            <w:right w:w="0" w:type="dxa"/>
          </w:tblCellMar>
        </w:tblPrEx>
        <w:trPr>
          <w:trHeight w:val="294" w:hRule="atLeast"/>
        </w:trPr>
        <w:tc>
          <w:tcPr>
            <w:tcW w:w="3779"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申请人情况</w:t>
            </w:r>
          </w:p>
        </w:tc>
      </w:tr>
      <w:tr>
        <w:tblPrEx>
          <w:tblCellMar>
            <w:top w:w="0" w:type="dxa"/>
            <w:left w:w="0" w:type="dxa"/>
            <w:bottom w:w="0" w:type="dxa"/>
            <w:right w:w="0" w:type="dxa"/>
          </w:tblCellMar>
        </w:tblPrEx>
        <w:trPr>
          <w:trHeight w:val="117" w:hRule="atLeast"/>
        </w:trPr>
        <w:tc>
          <w:tcPr>
            <w:tcW w:w="3779"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81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自然人</w:t>
            </w:r>
          </w:p>
        </w:tc>
        <w:tc>
          <w:tcPr>
            <w:tcW w:w="399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法人或其他组织</w:t>
            </w:r>
          </w:p>
        </w:tc>
        <w:tc>
          <w:tcPr>
            <w:tcW w:w="67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总计</w:t>
            </w:r>
          </w:p>
        </w:tc>
      </w:tr>
      <w:tr>
        <w:tblPrEx>
          <w:tblCellMar>
            <w:top w:w="0" w:type="dxa"/>
            <w:left w:w="0" w:type="dxa"/>
            <w:bottom w:w="0" w:type="dxa"/>
            <w:right w:w="0" w:type="dxa"/>
          </w:tblCellMar>
        </w:tblPrEx>
        <w:trPr>
          <w:trHeight w:val="653" w:hRule="atLeast"/>
        </w:trPr>
        <w:tc>
          <w:tcPr>
            <w:tcW w:w="3779"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810"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商业企业</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科研机构</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社会公益组织</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法律服务机构</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其他</w:t>
            </w:r>
          </w:p>
        </w:tc>
        <w:tc>
          <w:tcPr>
            <w:tcW w:w="67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294" w:hRule="atLeast"/>
        </w:trPr>
        <w:tc>
          <w:tcPr>
            <w:tcW w:w="37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spacing w:val="-6"/>
                <w:kern w:val="0"/>
                <w:sz w:val="24"/>
                <w:szCs w:val="24"/>
                <w:bdr w:val="none" w:color="auto" w:sz="0" w:space="0"/>
                <w:lang w:val="en-US" w:eastAsia="zh-CN" w:bidi="ar"/>
              </w:rPr>
              <w:t>一、本年新收政府信息公开申请数量</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306" w:hRule="atLeast"/>
        </w:trPr>
        <w:tc>
          <w:tcPr>
            <w:tcW w:w="3779" w:type="dxa"/>
            <w:gridSpan w:val="3"/>
            <w:tcBorders>
              <w:top w:val="nil"/>
              <w:left w:val="single" w:color="auto" w:sz="8" w:space="0"/>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spacing w:val="-6"/>
                <w:kern w:val="0"/>
                <w:sz w:val="24"/>
                <w:szCs w:val="24"/>
                <w:bdr w:val="none" w:color="auto" w:sz="0" w:space="0"/>
                <w:lang w:val="en-US" w:eastAsia="zh-CN" w:bidi="ar"/>
              </w:rPr>
              <w:t>二、上年结转政府信息公开申请数量</w:t>
            </w:r>
          </w:p>
        </w:tc>
        <w:tc>
          <w:tcPr>
            <w:tcW w:w="81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294" w:hRule="atLeast"/>
        </w:trPr>
        <w:tc>
          <w:tcPr>
            <w:tcW w:w="850" w:type="dxa"/>
            <w:vMerge w:val="restart"/>
            <w:tcBorders>
              <w:top w:val="single" w:color="auto" w:sz="4" w:space="0"/>
              <w:left w:val="single" w:color="auto" w:sz="4"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三、本年度办理结果</w:t>
            </w:r>
          </w:p>
        </w:tc>
        <w:tc>
          <w:tcPr>
            <w:tcW w:w="2929" w:type="dxa"/>
            <w:gridSpan w:val="2"/>
            <w:tcBorders>
              <w:top w:val="single" w:color="auto" w:sz="4"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ascii="楷体" w:hAnsi="楷体" w:eastAsia="楷体" w:cs="楷体"/>
                <w:kern w:val="0"/>
                <w:sz w:val="24"/>
                <w:szCs w:val="24"/>
                <w:bdr w:val="none" w:color="auto" w:sz="0" w:space="0"/>
                <w:lang w:val="en-US" w:eastAsia="zh-CN" w:bidi="ar"/>
              </w:rPr>
              <w:t>（一）予以公开</w:t>
            </w:r>
          </w:p>
        </w:tc>
        <w:tc>
          <w:tcPr>
            <w:tcW w:w="810"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single" w:color="auto" w:sz="4" w:space="0"/>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929"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楷体" w:hAnsi="楷体" w:eastAsia="楷体" w:cs="楷体"/>
                <w:kern w:val="0"/>
                <w:sz w:val="24"/>
                <w:szCs w:val="24"/>
                <w:bdr w:val="none" w:color="auto" w:sz="0" w:space="0"/>
                <w:lang w:val="en-US" w:eastAsia="zh-CN" w:bidi="ar"/>
              </w:rPr>
              <w:t>（</w:t>
            </w:r>
            <w:r>
              <w:rPr>
                <w:rFonts w:hint="eastAsia" w:ascii="楷体" w:hAnsi="楷体" w:eastAsia="楷体" w:cs="楷体"/>
                <w:spacing w:val="-2"/>
                <w:kern w:val="0"/>
                <w:sz w:val="24"/>
                <w:szCs w:val="24"/>
                <w:bdr w:val="none" w:color="auto" w:sz="0" w:space="0"/>
                <w:lang w:val="en-US" w:eastAsia="zh-CN" w:bidi="ar"/>
              </w:rPr>
              <w:t>二）部分公开（区分处理的，只计这一情形，不计其他情形）</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楷体" w:hAnsi="楷体" w:eastAsia="楷体" w:cs="楷体"/>
                <w:kern w:val="0"/>
                <w:sz w:val="24"/>
                <w:szCs w:val="24"/>
                <w:bdr w:val="none" w:color="auto" w:sz="0" w:space="0"/>
                <w:lang w:val="en-US" w:eastAsia="zh-CN" w:bidi="ar"/>
              </w:rPr>
              <w:t>（三）不予公开</w:t>
            </w:r>
          </w:p>
        </w:tc>
        <w:tc>
          <w:tcPr>
            <w:tcW w:w="20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1.</w:t>
            </w:r>
            <w:r>
              <w:rPr>
                <w:rFonts w:hint="eastAsia" w:ascii="楷体" w:hAnsi="楷体" w:eastAsia="楷体" w:cs="楷体"/>
                <w:kern w:val="0"/>
                <w:sz w:val="24"/>
                <w:szCs w:val="24"/>
                <w:bdr w:val="none" w:color="auto" w:sz="0" w:space="0"/>
                <w:lang w:val="en-US" w:eastAsia="zh-CN" w:bidi="ar"/>
              </w:rPr>
              <w:t>属于国家秘密</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2.</w:t>
            </w:r>
            <w:r>
              <w:rPr>
                <w:rFonts w:hint="eastAsia" w:ascii="楷体" w:hAnsi="楷体" w:eastAsia="楷体" w:cs="楷体"/>
                <w:kern w:val="0"/>
                <w:sz w:val="24"/>
                <w:szCs w:val="24"/>
                <w:bdr w:val="none" w:color="auto" w:sz="0" w:space="0"/>
                <w:lang w:val="en-US" w:eastAsia="zh-CN" w:bidi="ar"/>
              </w:rPr>
              <w:t>其他法律行政法规禁止公开</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3.</w:t>
            </w:r>
            <w:r>
              <w:rPr>
                <w:rFonts w:hint="eastAsia" w:ascii="楷体" w:hAnsi="楷体" w:eastAsia="楷体" w:cs="楷体"/>
                <w:kern w:val="0"/>
                <w:sz w:val="24"/>
                <w:szCs w:val="24"/>
                <w:bdr w:val="none" w:color="auto" w:sz="0" w:space="0"/>
                <w:lang w:val="en-US" w:eastAsia="zh-CN" w:bidi="ar"/>
              </w:rPr>
              <w:t>危及“三安全一稳定”</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4.</w:t>
            </w:r>
            <w:r>
              <w:rPr>
                <w:rFonts w:hint="eastAsia" w:ascii="楷体" w:hAnsi="楷体" w:eastAsia="楷体" w:cs="楷体"/>
                <w:kern w:val="0"/>
                <w:sz w:val="24"/>
                <w:szCs w:val="24"/>
                <w:bdr w:val="none" w:color="auto" w:sz="0" w:space="0"/>
                <w:lang w:val="en-US" w:eastAsia="zh-CN" w:bidi="ar"/>
              </w:rPr>
              <w:t>保护第三方合法权益</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5.</w:t>
            </w:r>
            <w:r>
              <w:rPr>
                <w:rFonts w:hint="eastAsia" w:ascii="楷体" w:hAnsi="楷体" w:eastAsia="楷体" w:cs="楷体"/>
                <w:kern w:val="0"/>
                <w:sz w:val="24"/>
                <w:szCs w:val="24"/>
                <w:bdr w:val="none" w:color="auto" w:sz="0" w:space="0"/>
                <w:lang w:val="en-US" w:eastAsia="zh-CN" w:bidi="ar"/>
              </w:rPr>
              <w:t>属于三类内部事务信息</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6.</w:t>
            </w:r>
            <w:r>
              <w:rPr>
                <w:rFonts w:hint="eastAsia" w:ascii="楷体" w:hAnsi="楷体" w:eastAsia="楷体" w:cs="楷体"/>
                <w:kern w:val="0"/>
                <w:sz w:val="24"/>
                <w:szCs w:val="24"/>
                <w:bdr w:val="none" w:color="auto" w:sz="0" w:space="0"/>
                <w:lang w:val="en-US" w:eastAsia="zh-CN" w:bidi="ar"/>
              </w:rPr>
              <w:t>属于四类过程性信息</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spacing w:val="-4"/>
                <w:kern w:val="0"/>
                <w:sz w:val="24"/>
                <w:szCs w:val="24"/>
                <w:bdr w:val="none" w:color="auto" w:sz="0" w:space="0"/>
                <w:lang w:val="en-US" w:eastAsia="zh-CN" w:bidi="ar"/>
              </w:rPr>
              <w:t>7.</w:t>
            </w:r>
            <w:r>
              <w:rPr>
                <w:rFonts w:hint="eastAsia" w:ascii="楷体" w:hAnsi="楷体" w:eastAsia="楷体" w:cs="楷体"/>
                <w:spacing w:val="-4"/>
                <w:kern w:val="0"/>
                <w:sz w:val="24"/>
                <w:szCs w:val="24"/>
                <w:bdr w:val="none" w:color="auto" w:sz="0" w:space="0"/>
                <w:lang w:val="en-US" w:eastAsia="zh-CN" w:bidi="ar"/>
              </w:rPr>
              <w:t>属于行政执法案卷</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spacing w:val="-4"/>
                <w:kern w:val="0"/>
                <w:sz w:val="24"/>
                <w:szCs w:val="24"/>
                <w:bdr w:val="none" w:color="auto" w:sz="0" w:space="0"/>
                <w:lang w:val="en-US" w:eastAsia="zh-CN" w:bidi="ar"/>
              </w:rPr>
              <w:t>8.</w:t>
            </w:r>
            <w:r>
              <w:rPr>
                <w:rFonts w:hint="eastAsia" w:ascii="楷体" w:hAnsi="楷体" w:eastAsia="楷体" w:cs="楷体"/>
                <w:spacing w:val="-4"/>
                <w:kern w:val="0"/>
                <w:sz w:val="24"/>
                <w:szCs w:val="24"/>
                <w:bdr w:val="none" w:color="auto" w:sz="0" w:space="0"/>
                <w:lang w:val="en-US" w:eastAsia="zh-CN" w:bidi="ar"/>
              </w:rPr>
              <w:t>属于行政查询事项</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楷体" w:hAnsi="楷体" w:eastAsia="楷体" w:cs="楷体"/>
                <w:kern w:val="0"/>
                <w:sz w:val="24"/>
                <w:szCs w:val="24"/>
                <w:bdr w:val="none" w:color="auto" w:sz="0" w:space="0"/>
                <w:lang w:val="en-US" w:eastAsia="zh-CN" w:bidi="ar"/>
              </w:rPr>
              <w:t>（四）无法提供</w:t>
            </w: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1.</w:t>
            </w:r>
            <w:r>
              <w:rPr>
                <w:rFonts w:hint="eastAsia" w:ascii="楷体" w:hAnsi="楷体" w:eastAsia="楷体" w:cs="楷体"/>
                <w:kern w:val="0"/>
                <w:sz w:val="24"/>
                <w:szCs w:val="24"/>
                <w:bdr w:val="none" w:color="auto" w:sz="0" w:space="0"/>
                <w:lang w:val="en-US" w:eastAsia="zh-CN" w:bidi="ar"/>
              </w:rPr>
              <w:t>本机关不掌握相关政府信息</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 xml:space="preserve">1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2.</w:t>
            </w:r>
            <w:r>
              <w:rPr>
                <w:rFonts w:hint="eastAsia" w:ascii="楷体" w:hAnsi="楷体" w:eastAsia="楷体" w:cs="楷体"/>
                <w:kern w:val="0"/>
                <w:sz w:val="24"/>
                <w:szCs w:val="24"/>
                <w:bdr w:val="none" w:color="auto" w:sz="0" w:space="0"/>
                <w:lang w:val="en-US" w:eastAsia="zh-CN" w:bidi="ar"/>
              </w:rPr>
              <w:t>没有现成信息需要另行制作</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宋体" w:cs="Times New Roman"/>
                <w:kern w:val="2"/>
                <w:sz w:val="24"/>
                <w:szCs w:val="24"/>
                <w:bdr w:val="none" w:color="auto" w:sz="0" w:space="0"/>
                <w:lang w:val="en-US" w:eastAsia="zh-CN" w:bidi="ar"/>
              </w:rPr>
              <w:t> 0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3.</w:t>
            </w:r>
            <w:r>
              <w:rPr>
                <w:rFonts w:hint="eastAsia" w:ascii="楷体" w:hAnsi="楷体" w:eastAsia="楷体" w:cs="楷体"/>
                <w:kern w:val="0"/>
                <w:sz w:val="24"/>
                <w:szCs w:val="24"/>
                <w:bdr w:val="none" w:color="auto" w:sz="0" w:space="0"/>
                <w:lang w:val="en-US" w:eastAsia="zh-CN" w:bidi="ar"/>
              </w:rPr>
              <w:t>补正后申请内容仍不明确</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楷体" w:hAnsi="楷体" w:eastAsia="楷体" w:cs="楷体"/>
                <w:kern w:val="0"/>
                <w:sz w:val="24"/>
                <w:szCs w:val="24"/>
                <w:bdr w:val="none" w:color="auto" w:sz="0" w:space="0"/>
                <w:lang w:val="en-US" w:eastAsia="zh-CN" w:bidi="ar"/>
              </w:rPr>
              <w:t>（五）不予处理</w:t>
            </w: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1.</w:t>
            </w:r>
            <w:r>
              <w:rPr>
                <w:rFonts w:hint="eastAsia" w:ascii="楷体" w:hAnsi="楷体" w:eastAsia="楷体" w:cs="楷体"/>
                <w:kern w:val="0"/>
                <w:sz w:val="24"/>
                <w:szCs w:val="24"/>
                <w:bdr w:val="none" w:color="auto" w:sz="0" w:space="0"/>
                <w:lang w:val="en-US" w:eastAsia="zh-CN" w:bidi="ar"/>
              </w:rPr>
              <w:t>信访举报投诉类申请</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2.</w:t>
            </w:r>
            <w:r>
              <w:rPr>
                <w:rFonts w:hint="eastAsia" w:ascii="楷体" w:hAnsi="楷体" w:eastAsia="楷体" w:cs="楷体"/>
                <w:kern w:val="0"/>
                <w:sz w:val="24"/>
                <w:szCs w:val="24"/>
                <w:bdr w:val="none" w:color="auto" w:sz="0" w:space="0"/>
                <w:lang w:val="en-US" w:eastAsia="zh-CN" w:bidi="ar"/>
              </w:rPr>
              <w:t>重复申请</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3.</w:t>
            </w:r>
            <w:r>
              <w:rPr>
                <w:rFonts w:hint="eastAsia" w:ascii="楷体" w:hAnsi="楷体" w:eastAsia="楷体" w:cs="楷体"/>
                <w:kern w:val="0"/>
                <w:sz w:val="24"/>
                <w:szCs w:val="24"/>
                <w:bdr w:val="none" w:color="auto" w:sz="0" w:space="0"/>
                <w:lang w:val="en-US" w:eastAsia="zh-CN" w:bidi="ar"/>
              </w:rPr>
              <w:t>要求提供公开出版物</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4.</w:t>
            </w:r>
            <w:r>
              <w:rPr>
                <w:rFonts w:hint="eastAsia" w:ascii="楷体" w:hAnsi="楷体" w:eastAsia="楷体" w:cs="楷体"/>
                <w:kern w:val="0"/>
                <w:sz w:val="24"/>
                <w:szCs w:val="24"/>
                <w:bdr w:val="none" w:color="auto" w:sz="0" w:space="0"/>
                <w:lang w:val="en-US" w:eastAsia="zh-CN" w:bidi="ar"/>
              </w:rPr>
              <w:t>无正当理由大量反复申请</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Calibri" w:hAnsi="Calibri" w:eastAsia="楷体" w:cs="Times New Roman"/>
                <w:kern w:val="0"/>
                <w:sz w:val="24"/>
                <w:szCs w:val="24"/>
                <w:bdr w:val="none" w:color="auto" w:sz="0" w:space="0"/>
                <w:lang w:val="en-US" w:eastAsia="zh-CN" w:bidi="ar"/>
              </w:rPr>
              <w:t>5.</w:t>
            </w:r>
            <w:r>
              <w:rPr>
                <w:rFonts w:hint="eastAsia" w:ascii="楷体" w:hAnsi="楷体" w:eastAsia="楷体" w:cs="楷体"/>
                <w:kern w:val="0"/>
                <w:sz w:val="24"/>
                <w:szCs w:val="24"/>
                <w:bdr w:val="none" w:color="auto" w:sz="0" w:space="0"/>
                <w:lang w:val="en-US" w:eastAsia="zh-CN" w:bidi="ar"/>
              </w:rPr>
              <w:t>要求行政机关确认或重新出具已获取信息</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92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楷体" w:hAnsi="楷体" w:eastAsia="楷体" w:cs="楷体"/>
                <w:kern w:val="0"/>
                <w:sz w:val="24"/>
                <w:szCs w:val="24"/>
                <w:bdr w:val="none" w:color="auto" w:sz="0" w:space="0"/>
                <w:lang w:val="en-US" w:eastAsia="zh-CN" w:bidi="ar"/>
              </w:rPr>
              <w:t>（六）其他处理</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trPr>
        <w:tc>
          <w:tcPr>
            <w:tcW w:w="850" w:type="dxa"/>
            <w:vMerge w:val="continue"/>
            <w:tcBorders>
              <w:top w:val="nil"/>
              <w:left w:val="single" w:color="auto" w:sz="4"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rPr>
            </w:pPr>
          </w:p>
        </w:tc>
        <w:tc>
          <w:tcPr>
            <w:tcW w:w="2929"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楷体" w:hAnsi="楷体" w:eastAsia="楷体" w:cs="楷体"/>
                <w:kern w:val="0"/>
                <w:sz w:val="24"/>
                <w:szCs w:val="24"/>
                <w:bdr w:val="none" w:color="auto" w:sz="0" w:space="0"/>
                <w:lang w:val="en-US" w:eastAsia="zh-CN" w:bidi="ar"/>
              </w:rPr>
              <w:t>（七）总计</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306" w:hRule="atLeast"/>
        </w:trPr>
        <w:tc>
          <w:tcPr>
            <w:tcW w:w="3779" w:type="dxa"/>
            <w:gridSpan w:val="3"/>
            <w:tcBorders>
              <w:top w:val="nil"/>
              <w:left w:val="single" w:color="auto" w:sz="4" w:space="0"/>
              <w:bottom w:val="single" w:color="auto" w:sz="4"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四、结转下年度继续办理</w:t>
            </w:r>
          </w:p>
        </w:tc>
        <w:tc>
          <w:tcPr>
            <w:tcW w:w="81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752"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64"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90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27"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c>
          <w:tcPr>
            <w:tcW w:w="675" w:type="dxa"/>
            <w:tcBorders>
              <w:top w:val="nil"/>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0</w:t>
            </w:r>
          </w:p>
        </w:tc>
      </w:tr>
    </w:tbl>
    <w:p>
      <w:pPr>
        <w:keepNext w:val="0"/>
        <w:keepLines w:val="0"/>
        <w:widowControl/>
        <w:suppressLineNumbers w:val="0"/>
        <w:spacing w:before="0" w:beforeAutospacing="1" w:after="0" w:afterAutospacing="1" w:line="540" w:lineRule="atLeast"/>
        <w:ind w:left="640" w:right="0"/>
        <w:jc w:val="left"/>
        <w:rPr>
          <w:rFonts w:hint="eastAsia" w:ascii="黑体" w:hAnsi="黑体" w:eastAsia="黑体" w:cs="黑体"/>
          <w:sz w:val="28"/>
          <w:szCs w:val="28"/>
        </w:rPr>
      </w:pPr>
      <w:r>
        <w:rPr>
          <w:rFonts w:hint="eastAsia" w:ascii="仿宋" w:hAnsi="仿宋" w:eastAsia="仿宋" w:cs="仿宋"/>
          <w:kern w:val="2"/>
          <w:sz w:val="24"/>
          <w:szCs w:val="24"/>
          <w:lang w:val="en-US" w:eastAsia="zh-CN" w:bidi="ar"/>
        </w:rPr>
        <w:t> </w:t>
      </w:r>
      <w:r>
        <w:rPr>
          <w:rFonts w:hint="eastAsia" w:ascii="黑体" w:hAnsi="黑体" w:eastAsia="黑体" w:cs="黑体"/>
          <w:b/>
          <w:bCs/>
          <w:kern w:val="0"/>
          <w:sz w:val="28"/>
          <w:szCs w:val="28"/>
          <w:lang w:val="en-US" w:eastAsia="zh-CN" w:bidi="ar"/>
        </w:rPr>
        <w:t>四、政府信息公开行政复议、行政诉讼情况</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84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行政复议</w:t>
            </w:r>
          </w:p>
        </w:tc>
        <w:tc>
          <w:tcPr>
            <w:tcW w:w="5680" w:type="dxa"/>
            <w:gridSpan w:val="10"/>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结果维护</w:t>
            </w:r>
          </w:p>
        </w:tc>
        <w:tc>
          <w:tcPr>
            <w:tcW w:w="568"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结果纠正</w:t>
            </w:r>
          </w:p>
        </w:tc>
        <w:tc>
          <w:tcPr>
            <w:tcW w:w="568" w:type="dxa"/>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其他结果</w:t>
            </w:r>
          </w:p>
        </w:tc>
        <w:tc>
          <w:tcPr>
            <w:tcW w:w="568" w:type="dxa"/>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尚未审结</w:t>
            </w:r>
          </w:p>
        </w:tc>
        <w:tc>
          <w:tcPr>
            <w:tcW w:w="568" w:type="dxa"/>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总计</w:t>
            </w:r>
          </w:p>
        </w:tc>
        <w:tc>
          <w:tcPr>
            <w:tcW w:w="2840" w:type="dxa"/>
            <w:gridSpan w:val="5"/>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未经复议直接起诉</w:t>
            </w:r>
          </w:p>
        </w:tc>
        <w:tc>
          <w:tcPr>
            <w:tcW w:w="2840" w:type="dxa"/>
            <w:gridSpan w:val="5"/>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Borders>
              <w:top w:val="nil"/>
              <w:left w:val="single" w:color="auto" w:sz="8" w:space="0"/>
              <w:bottom w:val="single" w:color="auto" w:sz="8" w:space="0"/>
              <w:right w:val="single" w:color="auto" w:sz="8" w:space="0"/>
            </w:tcBorders>
            <w:shd w:val="clear"/>
            <w:vAlign w:val="center"/>
          </w:tcPr>
          <w:p>
            <w:pPr>
              <w:jc w:val="left"/>
              <w:rPr>
                <w:rFonts w:hint="eastAsia" w:ascii="宋体"/>
                <w:sz w:val="24"/>
                <w:szCs w:val="24"/>
              </w:rPr>
            </w:pPr>
          </w:p>
        </w:tc>
        <w:tc>
          <w:tcPr>
            <w:tcW w:w="568" w:type="dxa"/>
            <w:vMerge w:val="continue"/>
            <w:tcBorders>
              <w:top w:val="nil"/>
              <w:left w:val="nil"/>
              <w:bottom w:val="single" w:color="auto" w:sz="8" w:space="0"/>
              <w:right w:val="single" w:color="auto" w:sz="8" w:space="0"/>
            </w:tcBorders>
            <w:shd w:val="clear"/>
            <w:vAlign w:val="center"/>
          </w:tcPr>
          <w:p>
            <w:pPr>
              <w:jc w:val="left"/>
              <w:rPr>
                <w:rFonts w:hint="eastAsia" w:ascii="宋体"/>
                <w:sz w:val="24"/>
                <w:szCs w:val="24"/>
              </w:rPr>
            </w:pPr>
          </w:p>
        </w:tc>
        <w:tc>
          <w:tcPr>
            <w:tcW w:w="568" w:type="dxa"/>
            <w:vMerge w:val="continue"/>
            <w:tcBorders>
              <w:top w:val="single" w:color="auto" w:sz="8" w:space="0"/>
              <w:left w:val="nil"/>
              <w:bottom w:val="single" w:color="auto" w:sz="8" w:space="0"/>
              <w:right w:val="single" w:color="auto" w:sz="8" w:space="0"/>
            </w:tcBorders>
            <w:shd w:val="clear"/>
            <w:vAlign w:val="center"/>
          </w:tcPr>
          <w:p>
            <w:pPr>
              <w:jc w:val="left"/>
              <w:rPr>
                <w:rFonts w:hint="eastAsia" w:ascii="宋体"/>
                <w:sz w:val="24"/>
                <w:szCs w:val="24"/>
              </w:rPr>
            </w:pPr>
          </w:p>
        </w:tc>
        <w:tc>
          <w:tcPr>
            <w:tcW w:w="568" w:type="dxa"/>
            <w:vMerge w:val="continue"/>
            <w:tcBorders>
              <w:top w:val="single" w:color="auto" w:sz="8" w:space="0"/>
              <w:left w:val="nil"/>
              <w:bottom w:val="single" w:color="auto" w:sz="8" w:space="0"/>
              <w:right w:val="single" w:color="auto" w:sz="8" w:space="0"/>
            </w:tcBorders>
            <w:shd w:val="clear"/>
            <w:vAlign w:val="center"/>
          </w:tcPr>
          <w:p>
            <w:pPr>
              <w:jc w:val="left"/>
              <w:rPr>
                <w:rFonts w:hint="eastAsia" w:ascii="宋体"/>
                <w:sz w:val="24"/>
                <w:szCs w:val="24"/>
              </w:rPr>
            </w:pPr>
          </w:p>
        </w:tc>
        <w:tc>
          <w:tcPr>
            <w:tcW w:w="568" w:type="dxa"/>
            <w:vMerge w:val="continue"/>
            <w:tcBorders>
              <w:top w:val="single" w:color="auto" w:sz="8" w:space="0"/>
              <w:left w:val="nil"/>
              <w:bottom w:val="single" w:color="auto" w:sz="8" w:space="0"/>
              <w:right w:val="single" w:color="auto" w:sz="8" w:space="0"/>
            </w:tcBorders>
            <w:shd w:val="clear"/>
            <w:vAlign w:val="center"/>
          </w:tcPr>
          <w:p>
            <w:pPr>
              <w:jc w:val="left"/>
              <w:rPr>
                <w:rFonts w:hint="eastAsia" w:ascii="宋体"/>
                <w:sz w:val="24"/>
                <w:szCs w:val="24"/>
              </w:rPr>
            </w:pPr>
          </w:p>
        </w:tc>
        <w:tc>
          <w:tcPr>
            <w:tcW w:w="568"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结果维护</w:t>
            </w:r>
          </w:p>
        </w:tc>
        <w:tc>
          <w:tcPr>
            <w:tcW w:w="568"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结果纠正</w:t>
            </w:r>
          </w:p>
        </w:tc>
        <w:tc>
          <w:tcPr>
            <w:tcW w:w="5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其他结果</w:t>
            </w:r>
          </w:p>
        </w:tc>
        <w:tc>
          <w:tcPr>
            <w:tcW w:w="5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尚未审结</w:t>
            </w:r>
          </w:p>
        </w:tc>
        <w:tc>
          <w:tcPr>
            <w:tcW w:w="5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总计</w:t>
            </w:r>
          </w:p>
        </w:tc>
        <w:tc>
          <w:tcPr>
            <w:tcW w:w="5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结果维护</w:t>
            </w:r>
          </w:p>
        </w:tc>
        <w:tc>
          <w:tcPr>
            <w:tcW w:w="5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结果纠正</w:t>
            </w:r>
          </w:p>
        </w:tc>
        <w:tc>
          <w:tcPr>
            <w:tcW w:w="5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其他结果</w:t>
            </w:r>
          </w:p>
        </w:tc>
        <w:tc>
          <w:tcPr>
            <w:tcW w:w="5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尚未审结</w:t>
            </w:r>
          </w:p>
        </w:tc>
        <w:tc>
          <w:tcPr>
            <w:tcW w:w="5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c>
          <w:tcPr>
            <w:tcW w:w="568" w:type="dxa"/>
            <w:tcBorders>
              <w:top w:val="nil"/>
              <w:left w:val="nil"/>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line="540" w:lineRule="atLeast"/>
              <w:ind w:left="0" w:right="0"/>
              <w:jc w:val="left"/>
            </w:pPr>
            <w:r>
              <w:rPr>
                <w:rFonts w:hint="eastAsia" w:ascii="仿宋" w:hAnsi="仿宋" w:eastAsia="仿宋" w:cs="仿宋"/>
                <w:kern w:val="2"/>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i w:val="0"/>
          <w:iCs w:val="0"/>
          <w:caps w:val="0"/>
          <w:spacing w:val="0"/>
          <w:kern w:val="2"/>
          <w:sz w:val="24"/>
          <w:szCs w:val="24"/>
          <w:bdr w:val="none" w:color="auto" w:sz="0" w:space="0"/>
          <w:lang w:val="en-US" w:eastAsia="zh-CN" w:bidi="ar"/>
        </w:rPr>
        <w:t> </w:t>
      </w:r>
    </w:p>
    <w:p>
      <w:pPr>
        <w:pStyle w:val="2"/>
        <w:keepNext w:val="0"/>
        <w:keepLines w:val="0"/>
        <w:widowControl/>
        <w:suppressLineNumbers w:val="0"/>
        <w:spacing w:before="40" w:beforeAutospacing="0" w:after="0" w:afterAutospacing="0" w:line="560" w:lineRule="atLeast"/>
        <w:ind w:left="0" w:right="0" w:firstLine="640"/>
        <w:jc w:val="left"/>
      </w:pPr>
      <w:r>
        <w:rPr>
          <w:rFonts w:hint="eastAsia" w:ascii="黑体" w:hAnsi="宋体" w:eastAsia="黑体" w:cs="黑体"/>
          <w:b/>
          <w:bCs/>
          <w:sz w:val="28"/>
          <w:szCs w:val="28"/>
        </w:rPr>
        <w:t>五、存在的主要问题及改进情况</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2020年，统计数据公布时间不一，使得我局信息公开时效性受影响较大。2021年我们将从以下几个方面进一步规范信息公开制度，加大信息公开力度，提高信息公开时效：</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一是进一步强化信息公开意识。结合党组中心组学习计划、全体党员干部学习计划以及网络在线学习，经常性地组织全体干部对信息公开业务的学习研讨，及时通报信息公开工作违纪案例，加强干部职工对信息公开工作重要性的认识。经常开展保密教育，加强对信息的审核力度，正确把握和处理公开与例外、公开与保密之间的关系，确保应当公开的政府信息及时公开。</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二是进一步拓展信息公开渠道。及时根据统计工作实际，创新信息公开方式，加快信息更新速度，丰富发布内容。</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三是进一步严格信息公开制度。将信息公开与单位绩效考评相结合，确保责任落实到人，工作有序开展。建立更加完善通畅的信息收集、审核、报送、公开运行流程，以及考核、评议、监督等长效管理办法、奖惩并举，提高工作效率和积极性。</w:t>
      </w:r>
    </w:p>
    <w:p>
      <w:pPr>
        <w:pStyle w:val="2"/>
        <w:keepNext w:val="0"/>
        <w:keepLines w:val="0"/>
        <w:widowControl/>
        <w:suppressLineNumbers w:val="0"/>
        <w:spacing w:before="40" w:beforeAutospacing="0" w:after="0" w:afterAutospacing="0" w:line="560" w:lineRule="atLeast"/>
        <w:ind w:left="0" w:right="0" w:firstLine="640"/>
        <w:jc w:val="left"/>
      </w:pPr>
      <w:r>
        <w:rPr>
          <w:rFonts w:hint="eastAsia" w:ascii="黑体" w:hAnsi="宋体" w:eastAsia="黑体" w:cs="黑体"/>
          <w:b/>
          <w:bCs/>
          <w:sz w:val="28"/>
          <w:szCs w:val="28"/>
        </w:rPr>
        <w:t>六、其他需要报告的事项</w:t>
      </w:r>
    </w:p>
    <w:p>
      <w:pPr>
        <w:pStyle w:val="2"/>
        <w:keepNext w:val="0"/>
        <w:keepLines w:val="0"/>
        <w:widowControl/>
        <w:suppressLineNumbers w:val="0"/>
        <w:spacing w:before="40" w:beforeAutospacing="0" w:after="0" w:afterAutospacing="0" w:line="560" w:lineRule="atLeast"/>
        <w:ind w:left="0" w:right="0" w:firstLine="640"/>
        <w:jc w:val="left"/>
      </w:pPr>
      <w:r>
        <w:rPr>
          <w:sz w:val="24"/>
          <w:szCs w:val="24"/>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85E3C"/>
    <w:multiLevelType w:val="singleLevel"/>
    <w:tmpl w:val="90785E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0A6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2021-04-14T02:52:41Z</dcterms:created>
  <dc:creator>zs</dc:creator>
  <cp:lastModifiedBy>zs</cp:lastModifiedBy>
  <dcterms:modified xsi:type="dcterms:W3CDTF">2021-04-14T03:06:54Z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201B12378D864D84BE28ED184D762B06</vt:lpwstr>
  </property>
</Properties>
</file>