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lang w:val="en-US" w:eastAsia="zh-CN"/>
        </w:rPr>
        <w:t>龙南市扶贫办公室2020年</w:t>
      </w:r>
      <w:r>
        <w:rPr>
          <w:rFonts w:hint="eastAsia" w:ascii="黑体" w:hAnsi="黑体" w:eastAsia="黑体" w:cs="黑体"/>
          <w:b w:val="0"/>
          <w:bCs/>
          <w:i w:val="0"/>
          <w:caps w:val="0"/>
          <w:color w:val="333333"/>
          <w:spacing w:val="0"/>
          <w:sz w:val="32"/>
          <w:szCs w:val="32"/>
          <w:shd w:val="clear" w:fill="FFFFFF"/>
        </w:rPr>
        <w:t>政府信息公开工作年度报告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本报告根据《中华人民共和国政府信息公开条例》（国务院令第711号，以下简称新《条例》）和《国务院办公厅政府信息与政务公开办公室关于政府信息公开工作年度报告有关事项的通知》（国办公开办函〔2019〕60号）要求，</w:t>
      </w:r>
      <w:r>
        <w:rPr>
          <w:rFonts w:hint="eastAsia" w:ascii="宋体" w:hAnsi="宋体" w:eastAsia="宋体" w:cs="宋体"/>
          <w:sz w:val="24"/>
          <w:szCs w:val="24"/>
          <w:lang w:val="en-US" w:eastAsia="zh-CN"/>
        </w:rPr>
        <w:t>由龙南市扶贫办公室结合有关统计数据编制。</w:t>
      </w:r>
      <w:r>
        <w:rPr>
          <w:rFonts w:hint="eastAsia" w:ascii="宋体" w:hAnsi="宋体" w:eastAsia="宋体" w:cs="宋体"/>
          <w:sz w:val="24"/>
          <w:szCs w:val="24"/>
        </w:rPr>
        <w:t>本报告中数据的统计期限自2020年1月1日起至2020年12月31日止。</w:t>
      </w:r>
      <w:r>
        <w:rPr>
          <w:rFonts w:hint="eastAsia" w:ascii="宋体" w:hAnsi="宋体" w:eastAsia="宋体" w:cs="宋体"/>
          <w:sz w:val="24"/>
          <w:szCs w:val="24"/>
          <w:lang w:val="en-US" w:eastAsia="zh-CN"/>
        </w:rPr>
        <w:t>全文包括</w:t>
      </w:r>
      <w:r>
        <w:rPr>
          <w:rFonts w:hint="eastAsia" w:ascii="宋体" w:hAnsi="宋体" w:eastAsia="宋体" w:cs="宋体"/>
          <w:sz w:val="24"/>
          <w:szCs w:val="24"/>
        </w:rPr>
        <w:t>总体情况、主动公开政府信息情况、收到和处理政府信息公开申请情况、政府信息公开行政复议及行政诉讼情况、存在的主要问题及改进情况以及其他需要报告的事项等六个部分。</w:t>
      </w:r>
      <w:r>
        <w:rPr>
          <w:rFonts w:hint="eastAsia" w:ascii="宋体" w:hAnsi="宋体" w:eastAsia="宋体" w:cs="宋体"/>
          <w:sz w:val="24"/>
          <w:szCs w:val="24"/>
          <w:lang w:val="en-US" w:eastAsia="zh-CN"/>
        </w:rPr>
        <w:t>本年度报告的电子版可以从龙南市人民政府网站（</w:t>
      </w:r>
      <w:r>
        <w:rPr>
          <w:rFonts w:hint="default" w:ascii="宋体" w:hAnsi="宋体" w:eastAsia="宋体" w:cs="宋体"/>
          <w:sz w:val="24"/>
          <w:szCs w:val="24"/>
          <w:lang w:val="en-US" w:eastAsia="zh-CN"/>
        </w:rPr>
        <w:t>http://www.jxln.gov.cn/lnxxxgk/c102699/list.shtml</w:t>
      </w:r>
      <w:r>
        <w:rPr>
          <w:rFonts w:hint="eastAsia" w:ascii="宋体" w:hAnsi="宋体" w:eastAsia="宋体" w:cs="宋体"/>
          <w:sz w:val="24"/>
          <w:szCs w:val="24"/>
          <w:lang w:val="en-US" w:eastAsia="zh-CN"/>
        </w:rPr>
        <w:t>）下载。如对本报告有疑问，请与龙南市扶贫办公室综合股联系（地址：龙南市龙翔大道1号行政中心三楼西侧325室，电话：0797-3513904，邮编：341700）。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b w:val="0"/>
          <w:bCs/>
          <w:i w:val="0"/>
          <w:caps w:val="0"/>
          <w:color w:val="333333"/>
          <w:spacing w:val="0"/>
          <w:sz w:val="24"/>
          <w:szCs w:val="24"/>
          <w:shd w:val="clear" w:fill="FFFFFF"/>
        </w:rPr>
      </w:pPr>
      <w:r>
        <w:rPr>
          <w:rFonts w:hint="eastAsia" w:ascii="黑体" w:hAnsi="黑体" w:eastAsia="黑体" w:cs="黑体"/>
          <w:b w:val="0"/>
          <w:bCs/>
          <w:i w:val="0"/>
          <w:caps w:val="0"/>
          <w:color w:val="333333"/>
          <w:spacing w:val="0"/>
          <w:sz w:val="24"/>
          <w:szCs w:val="24"/>
          <w:shd w:val="clear" w:fill="FFFFFF"/>
          <w:lang w:val="en-US" w:eastAsia="zh-CN"/>
        </w:rPr>
        <w:t>一、</w:t>
      </w:r>
      <w:r>
        <w:rPr>
          <w:rFonts w:hint="eastAsia" w:ascii="黑体" w:hAnsi="黑体" w:eastAsia="黑体" w:cs="黑体"/>
          <w:b w:val="0"/>
          <w:bCs/>
          <w:i w:val="0"/>
          <w:caps w:val="0"/>
          <w:color w:val="333333"/>
          <w:spacing w:val="0"/>
          <w:sz w:val="24"/>
          <w:szCs w:val="24"/>
          <w:shd w:val="clear" w:fill="FFFFFF"/>
        </w:rPr>
        <w:t>总体情况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2020年是决战脱贫攻坚、决胜全面小康和“十三五”全面收官之</w:t>
      </w:r>
      <w:bookmarkStart w:id="0" w:name="_GoBack"/>
      <w:bookmarkEnd w:id="0"/>
      <w:r>
        <w:rPr>
          <w:rFonts w:hint="eastAsia" w:ascii="宋体" w:hAnsi="宋体" w:eastAsia="宋体" w:cs="宋体"/>
          <w:kern w:val="2"/>
          <w:sz w:val="24"/>
          <w:szCs w:val="24"/>
          <w:lang w:val="en-US" w:eastAsia="zh-CN" w:bidi="ar-SA"/>
        </w:rPr>
        <w:t>年。在龙南市委、市政府的坚强领导下，我办坚持以习近平新时代中国特色社会主义思想为指导，从脱贫攻坚工作实际出发，围绕打造服务型政府要求，进一步明确政务公开内容，增强公开实效，不断提升政府信息公开工作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（一）主动公开信息情况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1.强化组织领导情况。为进一步深化和规范政务信息公开工作，我办建立由分管副职领导具体牵头、综合股负责督促指导、各业务股室按照职责分工落实的责任体系。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扶贫领域决策执行公开情况。在龙南市人民政府政务信息公开网站设立“脱贫攻坚”专栏，并纳入重点领域信息公开，主动对扶贫资金使用、项目建设、扶贫对象识别等信息进行公示公开，保障群众的知情权、参与权和监督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提升政务服务能力情况。积极践行“减证便民”工作要求，优化工作程序，简化证明材料，我办涉及4项政务服务事项（建档立卡贫困户识别建档、贫困村整村推进项目审批、大中型水库移民直补资金给付、雨露计划&lt;职业教育&gt;培训补助资金给付），均实现“一次不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落实“六稳”“六保”政策措施执行情况。结合脱贫攻坚实际，牵头制定了《关于有效应对新冠肺炎疫情坚决打赢脱贫攻坚战的若干措施》《龙南县关于有效应对疫情影响稳定贫困户收入计划实施方案》等文件，在龙南市人民政府政务信息公开网站“六稳六保”专栏进行了公开并解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（二）依申请公开情况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2020年，我办未收到信息公开的申请。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（三）政府信息管理情况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落实保密审查情况。健全落实公开保密审查制度，严格执行“谁公开、谁审查、谁负责”的保密审查规定，信息发布均按要求审查备案。政府门户网站集中发布由专人负责，严格按照规定的格式、方式、发布时限做好编制发布，确保信息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2.主动公开信息情况。2020年度，我办主动在龙南市人民政府网站公开政府信息584条，未收到人大代表建议和政协委员提案；在赣州市扶贫办公室网站主动发布信息5条，在江西省扶贫办公室网站主动发布信息21条。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推进基层政务公开规范化标准化建设情况。我办坚持把推进政务公开工作，尤其是加强基层扶贫政策、扶贫对象、扶贫资金项目等公告公示作为提升工作透明度和脱贫攻坚工作水平的重要抓手，编制了《龙南市扶贫领域政务公开标准目录》，并按照上级扶贫部门审核意见进行完善修正，明确扶贫领域政务公开的事项、内容、时限、主体、渠道和载体、对象、方式和层级，推进扶贫领域政务公开常态化制度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在按要求做好龙南市人民政府政务信息公开网站部门信息公开工作的同时，积极配合做好“脱贫攻坚”“基层政务公开标准化规范化”“六稳六保”等专栏建设，实时更新发布工作信息，提升扶贫领域政务动态信息发布的时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2.发挥政务新媒体作用，在“龙南扶贫”微信公众号主动发布信息58条，发布政务服务事项4项，在网络问政平台回复信息2条。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重点对扶贫项目资金建设公告公示情况进行监督检查，规范明确公告公示要素，将公告公示落实情况作为请拨款的必要指标，督促乡镇落实公告公示。对反馈存在的信息公开检查问题清单，逐条销号整改。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b w:val="0"/>
          <w:bCs/>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黑体" w:hAnsi="黑体" w:eastAsia="黑体" w:cs="黑体"/>
          <w:b w:val="0"/>
          <w:bCs/>
          <w:i w:val="0"/>
          <w:caps w:val="0"/>
          <w:color w:val="333333"/>
          <w:spacing w:val="0"/>
          <w:sz w:val="24"/>
          <w:szCs w:val="24"/>
          <w:shd w:val="clear" w:fill="FFFFFF"/>
          <w:lang w:val="en-US" w:eastAsia="zh-CN"/>
        </w:rPr>
      </w:pPr>
      <w:r>
        <w:rPr>
          <w:rFonts w:hint="eastAsia" w:ascii="黑体" w:hAnsi="黑体" w:eastAsia="黑体" w:cs="黑体"/>
          <w:b w:val="0"/>
          <w:bCs/>
          <w:i w:val="0"/>
          <w:caps w:val="0"/>
          <w:color w:val="333333"/>
          <w:spacing w:val="0"/>
          <w:sz w:val="24"/>
          <w:szCs w:val="24"/>
          <w:shd w:val="clear" w:fill="FFFFFF"/>
          <w:lang w:val="en-US" w:eastAsia="zh-CN"/>
        </w:rPr>
        <w:t>二、主动公开政府信息情况</w:t>
      </w:r>
    </w:p>
    <w:tbl>
      <w:tblPr>
        <w:tblStyle w:val="3"/>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544"/>
        <w:gridCol w:w="2357"/>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880" w:type="dxa"/>
            <w:gridSpan w:val="4"/>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信息内容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本年新制作数量</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本年新公开数量</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规    章</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规范性文件</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880" w:type="dxa"/>
            <w:gridSpan w:val="4"/>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信息内容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上一年项目数量</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本年增/减</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行政许可</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其他对外管理服务事项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676" w:type="dxa"/>
            <w:shd w:val="clear" w:color="auto" w:fill="auto"/>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880" w:type="dxa"/>
            <w:gridSpan w:val="4"/>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信息内容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上一年项目数量</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本年增/减</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行政处罚</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行政强制</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357"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2676"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880" w:type="dxa"/>
            <w:gridSpan w:val="4"/>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信息内容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上一年项目数量</w:t>
            </w:r>
          </w:p>
        </w:tc>
        <w:tc>
          <w:tcPr>
            <w:tcW w:w="5033" w:type="dxa"/>
            <w:gridSpan w:val="2"/>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行政事业性收费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5033" w:type="dxa"/>
            <w:gridSpan w:val="2"/>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880" w:type="dxa"/>
            <w:gridSpan w:val="4"/>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信息内容</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采购项目数量</w:t>
            </w:r>
          </w:p>
        </w:tc>
        <w:tc>
          <w:tcPr>
            <w:tcW w:w="5033" w:type="dxa"/>
            <w:gridSpan w:val="2"/>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采购总金额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万元</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03" w:type="dxa"/>
            <w:shd w:val="clear" w:color="auto" w:fill="auto"/>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政府集中采购</w:t>
            </w:r>
          </w:p>
        </w:tc>
        <w:tc>
          <w:tcPr>
            <w:tcW w:w="2544" w:type="dxa"/>
            <w:shd w:val="clear" w:color="auto" w:fill="auto"/>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5033" w:type="dxa"/>
            <w:gridSpan w:val="2"/>
            <w:shd w:val="clear" w:color="auto" w:fill="auto"/>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246.25</w:t>
            </w:r>
          </w:p>
        </w:tc>
      </w:tr>
    </w:tbl>
    <w:p>
      <w:pPr>
        <w:rPr>
          <w:rFonts w:hint="eastAsia" w:ascii="黑体" w:hAnsi="黑体" w:eastAsia="黑体" w:cs="黑体"/>
          <w:b w:val="0"/>
          <w:bCs/>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b w:val="0"/>
          <w:bCs/>
          <w:i w:val="0"/>
          <w:caps w:val="0"/>
          <w:color w:val="333333"/>
          <w:spacing w:val="0"/>
          <w:sz w:val="24"/>
          <w:szCs w:val="24"/>
          <w:shd w:val="clear" w:fill="FFFFFF"/>
          <w:lang w:val="en-US" w:eastAsia="zh-CN"/>
        </w:rPr>
      </w:pPr>
      <w:r>
        <w:rPr>
          <w:rFonts w:hint="eastAsia" w:ascii="黑体" w:hAnsi="黑体" w:eastAsia="黑体" w:cs="黑体"/>
          <w:b w:val="0"/>
          <w:bCs/>
          <w:i w:val="0"/>
          <w:caps w:val="0"/>
          <w:color w:val="333333"/>
          <w:spacing w:val="0"/>
          <w:sz w:val="24"/>
          <w:szCs w:val="24"/>
          <w:shd w:val="clear" w:fill="FFFFFF"/>
          <w:lang w:val="en-US" w:eastAsia="zh-CN"/>
        </w:rPr>
        <w:t>三、收到和处理政府信息公开申请情况</w:t>
      </w:r>
    </w:p>
    <w:tbl>
      <w:tblPr>
        <w:tblStyle w:val="3"/>
        <w:tblW w:w="1073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84"/>
        <w:gridCol w:w="794"/>
        <w:gridCol w:w="2542"/>
        <w:gridCol w:w="1000"/>
        <w:gridCol w:w="870"/>
        <w:gridCol w:w="870"/>
        <w:gridCol w:w="1116"/>
        <w:gridCol w:w="1042"/>
        <w:gridCol w:w="736"/>
        <w:gridCol w:w="7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4320"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（本列数据的勾稽关系为：第一项加第二项之和，等于第三项加第四项之和）</w:t>
            </w:r>
          </w:p>
        </w:tc>
        <w:tc>
          <w:tcPr>
            <w:tcW w:w="6419"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4320"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10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自然人</w:t>
            </w:r>
          </w:p>
        </w:tc>
        <w:tc>
          <w:tcPr>
            <w:tcW w:w="463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法人或其他组织</w:t>
            </w:r>
          </w:p>
        </w:tc>
        <w:tc>
          <w:tcPr>
            <w:tcW w:w="78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6" w:hRule="atLeast"/>
          <w:jc w:val="center"/>
        </w:trPr>
        <w:tc>
          <w:tcPr>
            <w:tcW w:w="4320"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1000" w:type="dxa"/>
            <w:vMerge w:val="continue"/>
            <w:tcBorders>
              <w:top w:val="nil"/>
              <w:left w:val="nil"/>
              <w:bottom w:val="single" w:color="auto" w:sz="8" w:space="0"/>
              <w:right w:val="single" w:color="auto" w:sz="8" w:space="0"/>
            </w:tcBorders>
            <w:vAlign w:val="center"/>
          </w:tcPr>
          <w:p>
            <w:pPr>
              <w:snapToGrid w:val="0"/>
              <w:spacing w:line="240" w:lineRule="auto"/>
              <w:jc w:val="center"/>
              <w:rPr>
                <w:rFonts w:hint="eastAsia" w:ascii="宋体" w:hAnsi="宋体" w:eastAsia="宋体" w:cs="宋体"/>
                <w:sz w:val="21"/>
                <w:szCs w:val="21"/>
              </w:rPr>
            </w:pP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商业企业</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科研机构</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社会公益组织</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法律服务机构</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其他</w:t>
            </w:r>
          </w:p>
        </w:tc>
        <w:tc>
          <w:tcPr>
            <w:tcW w:w="785" w:type="dxa"/>
            <w:vMerge w:val="continue"/>
            <w:tcBorders>
              <w:top w:val="single" w:color="auto" w:sz="8" w:space="0"/>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432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pacing w:val="-6"/>
                <w:sz w:val="21"/>
                <w:szCs w:val="21"/>
              </w:rPr>
            </w:pPr>
            <w:r>
              <w:rPr>
                <w:rFonts w:hint="eastAsia" w:ascii="宋体" w:hAnsi="宋体" w:eastAsia="宋体" w:cs="宋体"/>
                <w:spacing w:val="-6"/>
                <w:kern w:val="0"/>
                <w:sz w:val="21"/>
                <w:szCs w:val="21"/>
              </w:rPr>
              <w:t>一、本年新收政府信息公开申请数量</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432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pacing w:val="-6"/>
                <w:sz w:val="21"/>
                <w:szCs w:val="21"/>
              </w:rPr>
            </w:pPr>
            <w:r>
              <w:rPr>
                <w:rFonts w:hint="eastAsia" w:ascii="宋体" w:hAnsi="宋体" w:eastAsia="宋体" w:cs="宋体"/>
                <w:spacing w:val="-6"/>
                <w:kern w:val="0"/>
                <w:sz w:val="21"/>
                <w:szCs w:val="21"/>
              </w:rPr>
              <w:t>二、上年结转政府信息公开申请数量</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98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三、本年度办理结果</w:t>
            </w:r>
          </w:p>
        </w:tc>
        <w:tc>
          <w:tcPr>
            <w:tcW w:w="33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（一）予以公开</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33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pacing w:val="-2"/>
                <w:kern w:val="0"/>
                <w:sz w:val="21"/>
                <w:szCs w:val="21"/>
              </w:rPr>
              <w:t>二）部分公开（区分处理的，只计这一情形，不计其他情形）</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（三）不予</w:t>
            </w:r>
          </w:p>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公开</w:t>
            </w: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1.属于国家秘密</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2.其他法律行政法规禁止公开</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3.危及“三安全一稳定”</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4.保护第三方合法权益</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5.属于三类内部事务信息</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6.属于四类过程性信息</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pacing w:val="-4"/>
                <w:sz w:val="21"/>
                <w:szCs w:val="21"/>
              </w:rPr>
            </w:pPr>
            <w:r>
              <w:rPr>
                <w:rFonts w:hint="eastAsia" w:ascii="宋体" w:hAnsi="宋体" w:eastAsia="宋体" w:cs="宋体"/>
                <w:spacing w:val="-4"/>
                <w:kern w:val="0"/>
                <w:sz w:val="21"/>
                <w:szCs w:val="21"/>
              </w:rPr>
              <w:t>7.属于行政执法案卷</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pacing w:val="-4"/>
                <w:sz w:val="21"/>
                <w:szCs w:val="21"/>
              </w:rPr>
            </w:pPr>
            <w:r>
              <w:rPr>
                <w:rFonts w:hint="eastAsia" w:ascii="宋体" w:hAnsi="宋体" w:eastAsia="宋体" w:cs="宋体"/>
                <w:spacing w:val="-4"/>
                <w:kern w:val="0"/>
                <w:sz w:val="21"/>
                <w:szCs w:val="21"/>
              </w:rPr>
              <w:t>8.属于行政查询事项</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（四）无法</w:t>
            </w:r>
          </w:p>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提供</w:t>
            </w: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1.本机关不掌握相关政府信息</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2.没有现成信息需要另行制作</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center"/>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3.补正后申请内容仍不明确</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（五）不予</w:t>
            </w:r>
          </w:p>
          <w:p>
            <w:pPr>
              <w:widowControl/>
              <w:autoSpaceDE w:val="0"/>
              <w:snapToGrid w:val="0"/>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rPr>
              <w:t>处理</w:t>
            </w: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1.信访举报投诉类申请</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2.重复申请</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3.要求提供公开出版物</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4.无正当理由大量反复申请</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2"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794" w:type="dxa"/>
            <w:vMerge w:val="continue"/>
            <w:tcBorders>
              <w:top w:val="nil"/>
              <w:left w:val="nil"/>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25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5.要求行政机关确认或重新出具已获取信息</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33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（六）其他处理</w:t>
            </w:r>
          </w:p>
        </w:tc>
        <w:tc>
          <w:tcPr>
            <w:tcW w:w="10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84" w:type="dxa"/>
            <w:vMerge w:val="continue"/>
            <w:tcBorders>
              <w:top w:val="nil"/>
              <w:left w:val="single" w:color="auto" w:sz="8" w:space="0"/>
              <w:bottom w:val="single" w:color="auto" w:sz="8" w:space="0"/>
              <w:right w:val="single" w:color="auto" w:sz="8" w:space="0"/>
            </w:tcBorders>
            <w:vAlign w:val="center"/>
          </w:tcPr>
          <w:p>
            <w:pPr>
              <w:widowControl/>
              <w:snapToGrid w:val="0"/>
              <w:spacing w:line="240" w:lineRule="auto"/>
              <w:jc w:val="both"/>
              <w:rPr>
                <w:rFonts w:hint="eastAsia" w:ascii="宋体" w:hAnsi="宋体" w:eastAsia="宋体" w:cs="宋体"/>
                <w:sz w:val="21"/>
                <w:szCs w:val="21"/>
              </w:rPr>
            </w:pPr>
          </w:p>
        </w:tc>
        <w:tc>
          <w:tcPr>
            <w:tcW w:w="33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（七）总计</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32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both"/>
              <w:rPr>
                <w:rFonts w:hint="eastAsia" w:ascii="宋体" w:hAnsi="宋体" w:eastAsia="宋体" w:cs="宋体"/>
                <w:sz w:val="21"/>
                <w:szCs w:val="21"/>
              </w:rPr>
            </w:pPr>
            <w:r>
              <w:rPr>
                <w:rFonts w:hint="eastAsia" w:ascii="宋体" w:hAnsi="宋体" w:eastAsia="宋体" w:cs="宋体"/>
                <w:kern w:val="0"/>
                <w:sz w:val="21"/>
                <w:szCs w:val="21"/>
              </w:rPr>
              <w:t>四、结转下年度继续办理</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8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10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c>
          <w:tcPr>
            <w:tcW w:w="7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240" w:lineRule="auto"/>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0</w:t>
            </w:r>
          </w:p>
        </w:tc>
      </w:tr>
    </w:tbl>
    <w:p>
      <w:pPr>
        <w:rPr>
          <w:rFonts w:hint="eastAsia" w:ascii="黑体" w:hAnsi="黑体" w:eastAsia="黑体" w:cs="黑体"/>
          <w:b w:val="0"/>
          <w:bCs/>
          <w:i w:val="0"/>
          <w:caps w:val="0"/>
          <w:color w:val="333333"/>
          <w:spacing w:val="0"/>
          <w:sz w:val="24"/>
          <w:szCs w:val="24"/>
          <w:shd w:val="clear" w:fill="FFFFFF"/>
          <w:lang w:val="en-US" w:eastAsia="zh-CN"/>
        </w:rPr>
      </w:pPr>
      <w:r>
        <w:rPr>
          <w:rFonts w:hint="eastAsia" w:ascii="黑体" w:hAnsi="黑体" w:eastAsia="黑体" w:cs="黑体"/>
          <w:b w:val="0"/>
          <w:bCs/>
          <w:i w:val="0"/>
          <w:caps w:val="0"/>
          <w:color w:val="333333"/>
          <w:spacing w:val="0"/>
          <w:sz w:val="24"/>
          <w:szCs w:val="24"/>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b w:val="0"/>
          <w:bCs/>
          <w:i w:val="0"/>
          <w:caps w:val="0"/>
          <w:color w:val="333333"/>
          <w:spacing w:val="0"/>
          <w:sz w:val="24"/>
          <w:szCs w:val="24"/>
          <w:shd w:val="clear" w:fill="FFFFFF"/>
          <w:lang w:val="en-US" w:eastAsia="zh-CN"/>
        </w:rPr>
      </w:pPr>
      <w:r>
        <w:rPr>
          <w:rFonts w:hint="eastAsia" w:ascii="黑体" w:hAnsi="黑体" w:eastAsia="黑体" w:cs="黑体"/>
          <w:b w:val="0"/>
          <w:bCs/>
          <w:i w:val="0"/>
          <w:caps w:val="0"/>
          <w:color w:val="333333"/>
          <w:spacing w:val="0"/>
          <w:sz w:val="24"/>
          <w:szCs w:val="24"/>
          <w:shd w:val="clear" w:fill="FFFFFF"/>
          <w:lang w:val="en-US" w:eastAsia="zh-CN"/>
        </w:rPr>
        <w:t>四、政府信息公开行政复议、行政诉讼情况</w:t>
      </w:r>
    </w:p>
    <w:tbl>
      <w:tblPr>
        <w:tblStyle w:val="3"/>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609"/>
        <w:gridCol w:w="609"/>
        <w:gridCol w:w="609"/>
        <w:gridCol w:w="610"/>
        <w:gridCol w:w="609"/>
        <w:gridCol w:w="609"/>
        <w:gridCol w:w="609"/>
        <w:gridCol w:w="609"/>
        <w:gridCol w:w="610"/>
        <w:gridCol w:w="609"/>
        <w:gridCol w:w="609"/>
        <w:gridCol w:w="609"/>
        <w:gridCol w:w="609"/>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046" w:type="dxa"/>
            <w:gridSpan w:val="5"/>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行政复议</w:t>
            </w:r>
          </w:p>
        </w:tc>
        <w:tc>
          <w:tcPr>
            <w:tcW w:w="6093" w:type="dxa"/>
            <w:gridSpan w:val="10"/>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09" w:type="dxa"/>
            <w:vMerge w:val="restart"/>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结果维护</w:t>
            </w:r>
          </w:p>
        </w:tc>
        <w:tc>
          <w:tcPr>
            <w:tcW w:w="609" w:type="dxa"/>
            <w:vMerge w:val="restart"/>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609" w:type="dxa"/>
            <w:vMerge w:val="restart"/>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609" w:type="dxa"/>
            <w:vMerge w:val="restart"/>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610" w:type="dxa"/>
            <w:vMerge w:val="restart"/>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总计</w:t>
            </w:r>
          </w:p>
        </w:tc>
        <w:tc>
          <w:tcPr>
            <w:tcW w:w="3046" w:type="dxa"/>
            <w:gridSpan w:val="5"/>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color w:val="333333"/>
                <w:sz w:val="24"/>
                <w:szCs w:val="24"/>
                <w:shd w:val="clear" w:color="auto" w:fill="FFFFFF"/>
              </w:rPr>
              <w:t>未经复议直接起诉</w:t>
            </w:r>
          </w:p>
        </w:tc>
        <w:tc>
          <w:tcPr>
            <w:tcW w:w="3047" w:type="dxa"/>
            <w:gridSpan w:val="5"/>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609" w:type="dxa"/>
            <w:vMerge w:val="continue"/>
            <w:shd w:val="clear" w:color="auto" w:fill="auto"/>
            <w:vAlign w:val="center"/>
          </w:tcPr>
          <w:p>
            <w:pPr>
              <w:spacing w:line="360" w:lineRule="auto"/>
              <w:jc w:val="center"/>
              <w:rPr>
                <w:rFonts w:hint="eastAsia" w:ascii="宋体" w:hAnsi="宋体" w:eastAsia="宋体" w:cs="宋体"/>
                <w:sz w:val="24"/>
                <w:szCs w:val="24"/>
              </w:rPr>
            </w:pPr>
          </w:p>
        </w:tc>
        <w:tc>
          <w:tcPr>
            <w:tcW w:w="609" w:type="dxa"/>
            <w:vMerge w:val="continue"/>
            <w:shd w:val="clear" w:color="auto" w:fill="auto"/>
            <w:vAlign w:val="center"/>
          </w:tcPr>
          <w:p>
            <w:pPr>
              <w:spacing w:line="360" w:lineRule="auto"/>
              <w:jc w:val="center"/>
              <w:rPr>
                <w:rFonts w:hint="eastAsia" w:ascii="宋体" w:hAnsi="宋体" w:eastAsia="宋体" w:cs="宋体"/>
                <w:sz w:val="24"/>
                <w:szCs w:val="24"/>
              </w:rPr>
            </w:pPr>
          </w:p>
        </w:tc>
        <w:tc>
          <w:tcPr>
            <w:tcW w:w="609" w:type="dxa"/>
            <w:vMerge w:val="continue"/>
            <w:shd w:val="clear" w:color="auto" w:fill="auto"/>
            <w:vAlign w:val="center"/>
          </w:tcPr>
          <w:p>
            <w:pPr>
              <w:spacing w:line="360" w:lineRule="auto"/>
              <w:jc w:val="center"/>
              <w:rPr>
                <w:rFonts w:hint="eastAsia" w:ascii="宋体" w:hAnsi="宋体" w:eastAsia="宋体" w:cs="宋体"/>
                <w:sz w:val="24"/>
                <w:szCs w:val="24"/>
              </w:rPr>
            </w:pPr>
          </w:p>
        </w:tc>
        <w:tc>
          <w:tcPr>
            <w:tcW w:w="609" w:type="dxa"/>
            <w:vMerge w:val="continue"/>
            <w:shd w:val="clear" w:color="auto" w:fill="auto"/>
            <w:vAlign w:val="center"/>
          </w:tcPr>
          <w:p>
            <w:pPr>
              <w:spacing w:line="360" w:lineRule="auto"/>
              <w:jc w:val="center"/>
              <w:rPr>
                <w:rFonts w:hint="eastAsia" w:ascii="宋体" w:hAnsi="宋体" w:eastAsia="宋体" w:cs="宋体"/>
                <w:sz w:val="24"/>
                <w:szCs w:val="24"/>
              </w:rPr>
            </w:pPr>
          </w:p>
        </w:tc>
        <w:tc>
          <w:tcPr>
            <w:tcW w:w="610" w:type="dxa"/>
            <w:vMerge w:val="continue"/>
            <w:shd w:val="clear" w:color="auto" w:fill="auto"/>
            <w:vAlign w:val="center"/>
          </w:tcPr>
          <w:p>
            <w:pPr>
              <w:spacing w:line="360" w:lineRule="auto"/>
              <w:jc w:val="center"/>
              <w:rPr>
                <w:rFonts w:hint="eastAsia" w:ascii="宋体" w:hAnsi="宋体" w:eastAsia="宋体" w:cs="宋体"/>
                <w:sz w:val="24"/>
                <w:szCs w:val="24"/>
              </w:rPr>
            </w:pP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结果维护</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610"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总计</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结果维护</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609"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611" w:type="dxa"/>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10"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10"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11"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both"/>
        <w:rPr>
          <w:rFonts w:hint="eastAsia" w:ascii="黑体" w:hAnsi="黑体" w:eastAsia="黑体" w:cs="黑体"/>
          <w:b w:val="0"/>
          <w:bCs/>
          <w:i w:val="0"/>
          <w:caps w:val="0"/>
          <w:color w:val="333333"/>
          <w:spacing w:val="0"/>
          <w:kern w:val="2"/>
          <w:sz w:val="24"/>
          <w:szCs w:val="24"/>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黑体" w:hAnsi="黑体" w:eastAsia="黑体" w:cs="黑体"/>
          <w:b w:val="0"/>
          <w:bCs/>
          <w:i w:val="0"/>
          <w:caps w:val="0"/>
          <w:color w:val="333333"/>
          <w:spacing w:val="0"/>
          <w:kern w:val="2"/>
          <w:sz w:val="24"/>
          <w:szCs w:val="24"/>
          <w:shd w:val="clear" w:fill="FFFFFF"/>
          <w:lang w:val="en-US" w:eastAsia="zh-CN" w:bidi="ar-SA"/>
        </w:rPr>
      </w:pPr>
      <w:r>
        <w:rPr>
          <w:rFonts w:hint="eastAsia" w:ascii="黑体" w:hAnsi="黑体" w:eastAsia="黑体" w:cs="黑体"/>
          <w:b w:val="0"/>
          <w:bCs/>
          <w:i w:val="0"/>
          <w:caps w:val="0"/>
          <w:color w:val="333333"/>
          <w:spacing w:val="0"/>
          <w:kern w:val="2"/>
          <w:sz w:val="24"/>
          <w:szCs w:val="24"/>
          <w:shd w:val="clear" w:fill="FFFFFF"/>
          <w:lang w:val="en-US" w:eastAsia="zh-CN" w:bidi="ar-SA"/>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2020年，我办政府信息公开工作虽然取得新的进展成效，但也存在一些问题，如对扶贫政策解读形式相对单一，政策解读质量有待进一步提高；对乡村扶贫领域政务公开工作监督检查不够等。下一步，我办将从以下三个方面抓好政务公开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1.完善工作制度。以制度建设为抓手，统一工作流程，从制度层面纠正公开意识不强、不主动公开等问题，杜绝公开涉密、涉隐和法律法规禁止公开的信息，确保政务公开工作健康有序发展。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2.加强业务培训。将扶贫领域政务公开纳入年度培训计划重要内容，加强对乡村扶贫领域政务公开的业务培训，提高基层政务公开标准、规范化。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b w:val="0"/>
          <w:bCs/>
          <w:i w:val="0"/>
          <w:caps w:val="0"/>
          <w:color w:val="333333"/>
          <w:spacing w:val="0"/>
          <w:kern w:val="2"/>
          <w:sz w:val="24"/>
          <w:szCs w:val="24"/>
          <w:shd w:val="clear" w:fill="FFFFFF"/>
          <w:lang w:val="en-US" w:eastAsia="zh-CN" w:bidi="ar-SA"/>
        </w:rPr>
      </w:pPr>
      <w:r>
        <w:rPr>
          <w:rFonts w:hint="eastAsia" w:ascii="宋体" w:hAnsi="宋体" w:eastAsia="宋体" w:cs="宋体"/>
          <w:kern w:val="2"/>
          <w:sz w:val="24"/>
          <w:szCs w:val="24"/>
          <w:lang w:val="en-US" w:eastAsia="zh-CN" w:bidi="ar-SA"/>
        </w:rPr>
        <w:t>3.强化政策解读。坚持政策制定与政策解读同步研究、同步部署、同步推进，出台重要政策时，一并制定政策解读，文件与解读同步在规定时限内对外公开发布。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黑体" w:hAnsi="黑体" w:eastAsia="黑体" w:cs="黑体"/>
          <w:b w:val="0"/>
          <w:bCs/>
          <w:i w:val="0"/>
          <w:caps w:val="0"/>
          <w:color w:val="333333"/>
          <w:spacing w:val="0"/>
          <w:kern w:val="2"/>
          <w:sz w:val="24"/>
          <w:szCs w:val="24"/>
          <w:shd w:val="clear" w:fill="FFFFFF"/>
          <w:lang w:val="en-US" w:eastAsia="zh-CN" w:bidi="ar-SA"/>
        </w:rPr>
      </w:pPr>
      <w:r>
        <w:rPr>
          <w:rFonts w:hint="eastAsia" w:ascii="黑体" w:hAnsi="黑体" w:eastAsia="黑体" w:cs="黑体"/>
          <w:b w:val="0"/>
          <w:bCs/>
          <w:i w:val="0"/>
          <w:caps w:val="0"/>
          <w:color w:val="333333"/>
          <w:spacing w:val="0"/>
          <w:kern w:val="2"/>
          <w:sz w:val="24"/>
          <w:szCs w:val="24"/>
          <w:shd w:val="clear" w:fill="FFFFFF"/>
          <w:lang w:val="en-US" w:eastAsia="zh-CN" w:bidi="ar-SA"/>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sz w:val="32"/>
          <w:szCs w:val="32"/>
          <w:lang w:eastAsia="zh-CN"/>
        </w:rPr>
      </w:pPr>
      <w:r>
        <w:rPr>
          <w:rFonts w:hint="eastAsia" w:ascii="宋体" w:hAnsi="宋体" w:eastAsia="宋体" w:cs="宋体"/>
          <w:kern w:val="2"/>
          <w:sz w:val="24"/>
          <w:szCs w:val="24"/>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9BB6533"/>
    <w:rsid w:val="0F42566A"/>
    <w:rsid w:val="0FE32618"/>
    <w:rsid w:val="16C76B7B"/>
    <w:rsid w:val="17534F7D"/>
    <w:rsid w:val="1ADA1C54"/>
    <w:rsid w:val="1B931963"/>
    <w:rsid w:val="1BCE6CE3"/>
    <w:rsid w:val="23B06487"/>
    <w:rsid w:val="2480713E"/>
    <w:rsid w:val="26AF70FC"/>
    <w:rsid w:val="30204F2A"/>
    <w:rsid w:val="32344A6C"/>
    <w:rsid w:val="3F090011"/>
    <w:rsid w:val="49B11C0B"/>
    <w:rsid w:val="4A6213E9"/>
    <w:rsid w:val="4B2E0D88"/>
    <w:rsid w:val="4FB827E4"/>
    <w:rsid w:val="519D4381"/>
    <w:rsid w:val="566E50F8"/>
    <w:rsid w:val="56857A37"/>
    <w:rsid w:val="5C5B0974"/>
    <w:rsid w:val="5FCE6A83"/>
    <w:rsid w:val="604E3FBD"/>
    <w:rsid w:val="624D49FA"/>
    <w:rsid w:val="67701D2F"/>
    <w:rsid w:val="6E4A3982"/>
    <w:rsid w:val="6EB526D3"/>
    <w:rsid w:val="6EC41F3F"/>
    <w:rsid w:val="710A20C9"/>
    <w:rsid w:val="7B440FF1"/>
    <w:rsid w:val="7D7C7DE7"/>
    <w:rsid w:val="7FBA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장지홍</cp:lastModifiedBy>
  <dcterms:modified xsi:type="dcterms:W3CDTF">2021-02-03T08:59:01Z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