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赣州市住房公积金管理中心龙南分中心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0"/>
          <w:sz w:val="44"/>
          <w:szCs w:val="44"/>
        </w:rPr>
      </w:pPr>
      <w:bookmarkStart w:id="0" w:name="_GoBack"/>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2021年</w:t>
      </w:r>
      <w:r>
        <w:rPr>
          <w:rFonts w:hint="eastAsia" w:ascii="方正小标宋简体" w:hAnsi="方正小标宋简体" w:eastAsia="方正小标宋简体" w:cs="方正小标宋简体"/>
          <w:b/>
          <w:i w:val="0"/>
          <w:caps w:val="0"/>
          <w:color w:val="333333"/>
          <w:spacing w:val="0"/>
          <w:sz w:val="44"/>
          <w:szCs w:val="44"/>
          <w:shd w:val="clear" w:fill="FFFFFF"/>
        </w:rPr>
        <w:t>政府信息公开工作年度报告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sz w:val="32"/>
          <w:szCs w:val="32"/>
        </w:rPr>
        <w:t>本报告依据《中华人民共和国政府信息公开条例》（国务院令第711号）和《国务院办公厅政府信息与政务公开办公室关于印发&lt;中华人民共和国政府信息公开工作年度报告格式〉的通知》(国办公开办函〔2021〕30号）要求，由龙南市退役军人事务局结合有关统计数据编制。全文包括总体情况、主动公开政府信息情况、收到和处理政府信息公开申请情况、政府信息公开行政复议和行政诉讼情况、存在的主要问题及改进情况、其他需要报告的事项等六部分内容。本年度报告中所列数据的统计期限自2021年1月1日起至2021年12月31日止。如对本报告有任何疑问，请与</w:t>
      </w:r>
      <w:r>
        <w:rPr>
          <w:rFonts w:hint="eastAsia" w:ascii="仿宋" w:hAnsi="仿宋" w:eastAsia="仿宋" w:cs="仿宋"/>
          <w:i w:val="0"/>
          <w:caps w:val="0"/>
          <w:color w:val="333333"/>
          <w:spacing w:val="0"/>
          <w:sz w:val="32"/>
          <w:szCs w:val="32"/>
          <w:lang w:val="en-US" w:eastAsia="zh-CN"/>
        </w:rPr>
        <w:t>龙南市住房公积金中心办事处办公室</w:t>
      </w:r>
      <w:r>
        <w:rPr>
          <w:rFonts w:hint="eastAsia" w:ascii="仿宋" w:hAnsi="仿宋" w:eastAsia="仿宋" w:cs="仿宋"/>
          <w:i w:val="0"/>
          <w:caps w:val="0"/>
          <w:color w:val="333333"/>
          <w:spacing w:val="0"/>
          <w:sz w:val="32"/>
          <w:szCs w:val="32"/>
        </w:rPr>
        <w:t>联系（地址：</w:t>
      </w:r>
      <w:r>
        <w:rPr>
          <w:rFonts w:hint="eastAsia" w:ascii="仿宋" w:hAnsi="仿宋" w:eastAsia="仿宋" w:cs="仿宋"/>
          <w:i w:val="0"/>
          <w:caps w:val="0"/>
          <w:color w:val="333333"/>
          <w:spacing w:val="0"/>
          <w:sz w:val="32"/>
          <w:szCs w:val="32"/>
          <w:highlight w:val="none"/>
          <w:lang w:val="en-US" w:eastAsia="zh-CN"/>
        </w:rPr>
        <w:t>龙南市龙翔大道龙南市行政审批局4楼</w:t>
      </w:r>
      <w:r>
        <w:rPr>
          <w:rFonts w:hint="eastAsia" w:ascii="仿宋" w:hAnsi="仿宋" w:eastAsia="仿宋" w:cs="仿宋"/>
          <w:i w:val="0"/>
          <w:caps w:val="0"/>
          <w:color w:val="333333"/>
          <w:spacing w:val="0"/>
          <w:sz w:val="32"/>
          <w:szCs w:val="32"/>
          <w:highlight w:val="none"/>
        </w:rPr>
        <w:t>，电话：</w:t>
      </w:r>
      <w:r>
        <w:rPr>
          <w:rFonts w:hint="eastAsia" w:ascii="仿宋" w:hAnsi="仿宋" w:eastAsia="仿宋" w:cs="仿宋"/>
          <w:i w:val="0"/>
          <w:caps w:val="0"/>
          <w:color w:val="333333"/>
          <w:spacing w:val="0"/>
          <w:sz w:val="32"/>
          <w:szCs w:val="32"/>
          <w:highlight w:val="none"/>
          <w:lang w:val="en-US" w:eastAsia="zh-CN"/>
        </w:rPr>
        <w:t>0797-3523756</w:t>
      </w:r>
      <w:r>
        <w:rPr>
          <w:rFonts w:hint="eastAsia" w:ascii="仿宋" w:hAnsi="仿宋" w:eastAsia="仿宋" w:cs="仿宋"/>
          <w:i w:val="0"/>
          <w:caps w:val="0"/>
          <w:color w:val="333333"/>
          <w:spacing w:val="0"/>
          <w:sz w:val="32"/>
          <w:szCs w:val="32"/>
          <w:highlight w:val="none"/>
        </w:rPr>
        <w:t>，邮编：</w:t>
      </w:r>
      <w:r>
        <w:rPr>
          <w:rFonts w:hint="eastAsia" w:ascii="仿宋" w:hAnsi="仿宋" w:eastAsia="仿宋" w:cs="仿宋"/>
          <w:i w:val="0"/>
          <w:caps w:val="0"/>
          <w:color w:val="333333"/>
          <w:spacing w:val="0"/>
          <w:sz w:val="32"/>
          <w:szCs w:val="32"/>
          <w:highlight w:val="none"/>
          <w:lang w:val="en-US" w:eastAsia="zh-CN"/>
        </w:rPr>
        <w:t>341700</w:t>
      </w:r>
      <w:r>
        <w:rPr>
          <w:rFonts w:hint="eastAsia" w:ascii="仿宋" w:hAnsi="仿宋" w:eastAsia="仿宋" w:cs="仿宋"/>
          <w:i w:val="0"/>
          <w:caps w:val="0"/>
          <w:color w:val="333333"/>
          <w:spacing w:val="0"/>
          <w:sz w:val="32"/>
          <w:szCs w:val="32"/>
          <w:highlight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i w:val="0"/>
          <w:caps w:val="0"/>
          <w:color w:val="333333"/>
          <w:spacing w:val="0"/>
          <w:sz w:val="32"/>
          <w:szCs w:val="32"/>
          <w:shd w:val="clear" w:fill="FFFFFF"/>
        </w:rPr>
      </w:pPr>
      <w:r>
        <w:rPr>
          <w:rFonts w:hint="eastAsia" w:ascii="仿宋" w:hAnsi="仿宋" w:eastAsia="仿宋" w:cs="仿宋"/>
          <w:b w:val="0"/>
          <w:bCs/>
          <w:i w:val="0"/>
          <w:caps w:val="0"/>
          <w:color w:val="333333"/>
          <w:spacing w:val="0"/>
          <w:sz w:val="32"/>
          <w:szCs w:val="32"/>
          <w:shd w:val="clear" w:fill="FFFFFF"/>
        </w:rPr>
        <w:t>总体情况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b w:val="0"/>
          <w:bCs/>
          <w:i w:val="0"/>
          <w:caps w:val="0"/>
          <w:color w:val="333333"/>
          <w:spacing w:val="0"/>
          <w:sz w:val="32"/>
          <w:szCs w:val="32"/>
          <w:shd w:val="clear" w:fill="FFFFFF"/>
        </w:rPr>
      </w:pPr>
      <w:r>
        <w:rPr>
          <w:rFonts w:hint="eastAsia" w:ascii="仿宋" w:hAnsi="仿宋" w:eastAsia="仿宋" w:cs="仿宋"/>
          <w:b w:val="0"/>
          <w:bCs/>
          <w:i w:val="0"/>
          <w:caps w:val="0"/>
          <w:color w:val="333333"/>
          <w:spacing w:val="0"/>
          <w:sz w:val="32"/>
          <w:szCs w:val="32"/>
          <w:shd w:val="clear" w:fill="FFFFFF"/>
        </w:rPr>
        <w:t>2021年，我</w:t>
      </w:r>
      <w:r>
        <w:rPr>
          <w:rFonts w:hint="eastAsia" w:ascii="仿宋" w:hAnsi="仿宋" w:eastAsia="仿宋" w:cs="仿宋"/>
          <w:b w:val="0"/>
          <w:bCs/>
          <w:i w:val="0"/>
          <w:caps w:val="0"/>
          <w:color w:val="333333"/>
          <w:spacing w:val="0"/>
          <w:sz w:val="32"/>
          <w:szCs w:val="32"/>
          <w:shd w:val="clear" w:fill="FFFFFF"/>
          <w:lang w:val="en-US" w:eastAsia="zh-CN"/>
        </w:rPr>
        <w:t>分中心</w:t>
      </w:r>
      <w:r>
        <w:rPr>
          <w:rFonts w:hint="eastAsia" w:ascii="仿宋" w:hAnsi="仿宋" w:eastAsia="仿宋" w:cs="仿宋"/>
          <w:b w:val="0"/>
          <w:bCs/>
          <w:i w:val="0"/>
          <w:caps w:val="0"/>
          <w:color w:val="333333"/>
          <w:spacing w:val="0"/>
          <w:sz w:val="32"/>
          <w:szCs w:val="32"/>
          <w:shd w:val="clear" w:fill="FFFFFF"/>
        </w:rPr>
        <w:t>积极认真贯彻落实各级政务公开工作相关文件精神，按照政务公开工作相关要求，根据本单位实际，持续推进政务公开工作严格有序进行。</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主动公开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一是建立完善工作机制。我分中心始终把信息公开作为一项基本制度和常态化要求融入日常工作，加强政府信息公开工作的统一领导与协调。成立政务信息公开工作小组，由主要领导任组长，分管领导任副组长的，办公室负责组织实施和协调全局的政府信息公开工作。二是做好政务信息公开。我分中心坚持以住房公积金工作为中心，紧紧围绕退缴存人人关切的问题，以公开为常态、不公开为例外，及时、准确地公开政府信息。积极做好公积金相关政策的宣传解读。三是加强安全防护。为进一步做好政府信息公开工作，完善了各项规章制度。主要包括政府信息公开目录、政府信息主动公开流程、政府信息依申请公开流程、政府信息主动公开和政府信息依申请公开制度、责任追究制度等各项规章制度，确保政府信息公开工作依法、有序开展。规范政府信息公开程序。公开发布的信息由办公室主任审核、分管领导审定，重要信息由主要领导审签，做到逐级把关、层层负责。2021年未公开敏感信息、涉密信息，未发生泄密事件。</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依申请公开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rPr>
        <w:t>202</w:t>
      </w:r>
      <w:r>
        <w:rPr>
          <w:rFonts w:hint="eastAsia" w:ascii="仿宋" w:hAnsi="仿宋" w:eastAsia="仿宋" w:cs="仿宋"/>
          <w:i w:val="0"/>
          <w:caps w:val="0"/>
          <w:color w:val="333333"/>
          <w:spacing w:val="0"/>
          <w:sz w:val="32"/>
          <w:szCs w:val="32"/>
          <w:shd w:val="clear" w:fill="FFFFFF"/>
          <w:lang w:val="en-US" w:eastAsia="zh-CN"/>
        </w:rPr>
        <w:t>1</w:t>
      </w:r>
      <w:r>
        <w:rPr>
          <w:rFonts w:hint="eastAsia" w:ascii="仿宋" w:hAnsi="仿宋" w:eastAsia="仿宋" w:cs="仿宋"/>
          <w:i w:val="0"/>
          <w:caps w:val="0"/>
          <w:color w:val="333333"/>
          <w:spacing w:val="0"/>
          <w:sz w:val="32"/>
          <w:szCs w:val="32"/>
          <w:shd w:val="clear" w:fill="FFFFFF"/>
        </w:rPr>
        <w:t>年度，我</w:t>
      </w:r>
      <w:r>
        <w:rPr>
          <w:rFonts w:hint="eastAsia" w:ascii="仿宋" w:hAnsi="仿宋" w:eastAsia="仿宋" w:cs="仿宋"/>
          <w:i w:val="0"/>
          <w:caps w:val="0"/>
          <w:color w:val="333333"/>
          <w:spacing w:val="0"/>
          <w:sz w:val="32"/>
          <w:szCs w:val="32"/>
          <w:shd w:val="clear" w:fill="FFFFFF"/>
          <w:lang w:val="en-US" w:eastAsia="zh-CN"/>
        </w:rPr>
        <w:t>分中心</w:t>
      </w:r>
      <w:r>
        <w:rPr>
          <w:rFonts w:hint="eastAsia" w:ascii="仿宋" w:hAnsi="仿宋" w:eastAsia="仿宋" w:cs="仿宋"/>
          <w:i w:val="0"/>
          <w:caps w:val="0"/>
          <w:color w:val="333333"/>
          <w:spacing w:val="0"/>
          <w:sz w:val="32"/>
          <w:szCs w:val="32"/>
          <w:shd w:val="clear" w:fill="FFFFFF"/>
        </w:rPr>
        <w:t>无依申请公开的政府信息。</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政府信息管理</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按照《政府信息公开条例》要求，进一步加强局政府信息公开制度建设，政府信息管理有序，实行发布前审核、发布后更新，确保涉密信息不公开，公开信息不涉密。</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平台建设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val="en-US" w:eastAsia="zh-CN"/>
        </w:rPr>
        <w:t>1、政府网站。市民通过市政府网站的“政府信息公开”栏目可查看我办事处主动公开的政府信息。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val="en-US" w:eastAsia="zh-CN"/>
        </w:rPr>
        <w:t>2、其他平台。我办事处通过“赣州公积金”微信公众号及时公开需要社会公众广泛知晓的政府信息。</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监督保障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根据政务公开工作要求及时制定更新本单位信息公开工作制度，积极召开业务工作推进会，强化工作部署，推动工作落实，保障政务公开工作稳中求进。</w:t>
      </w:r>
    </w:p>
    <w:p>
      <w:pPr>
        <w:numPr>
          <w:ilvl w:val="0"/>
          <w:numId w:val="0"/>
        </w:numPr>
        <w:spacing w:line="540" w:lineRule="exact"/>
        <w:rPr>
          <w:rFonts w:hint="eastAsia" w:ascii="仿宋" w:hAnsi="仿宋" w:eastAsia="仿宋" w:cs="仿宋"/>
          <w:b w:val="0"/>
          <w:bCs/>
          <w:sz w:val="32"/>
          <w:szCs w:val="32"/>
        </w:rPr>
      </w:pP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主动公开政府信息情况</w:t>
      </w:r>
    </w:p>
    <w:tbl>
      <w:tblPr>
        <w:tblStyle w:val="4"/>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84" w:type="dxa"/>
            <w:gridSpan w:val="4"/>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信息内容</w:t>
            </w:r>
          </w:p>
        </w:tc>
        <w:tc>
          <w:tcPr>
            <w:tcW w:w="2460"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本年新制作数量</w:t>
            </w:r>
          </w:p>
        </w:tc>
        <w:tc>
          <w:tcPr>
            <w:tcW w:w="2025"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本年新公开数量</w:t>
            </w:r>
          </w:p>
        </w:tc>
        <w:tc>
          <w:tcPr>
            <w:tcW w:w="2295"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规    章</w:t>
            </w:r>
          </w:p>
        </w:tc>
        <w:tc>
          <w:tcPr>
            <w:tcW w:w="2460" w:type="dxa"/>
            <w:shd w:val="clear" w:color="auto" w:fill="auto"/>
          </w:tcPr>
          <w:p>
            <w:pPr>
              <w:spacing w:line="460" w:lineRule="exact"/>
              <w:jc w:val="left"/>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0</w:t>
            </w:r>
          </w:p>
        </w:tc>
        <w:tc>
          <w:tcPr>
            <w:tcW w:w="2025" w:type="dxa"/>
            <w:shd w:val="clear" w:color="auto" w:fill="auto"/>
          </w:tcPr>
          <w:p>
            <w:pPr>
              <w:spacing w:line="460" w:lineRule="exact"/>
              <w:jc w:val="left"/>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0</w:t>
            </w:r>
          </w:p>
        </w:tc>
        <w:tc>
          <w:tcPr>
            <w:tcW w:w="2295" w:type="dxa"/>
            <w:shd w:val="clear" w:color="auto" w:fill="auto"/>
          </w:tcPr>
          <w:p>
            <w:pPr>
              <w:spacing w:line="460" w:lineRule="exact"/>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规范性文件</w:t>
            </w:r>
          </w:p>
        </w:tc>
        <w:tc>
          <w:tcPr>
            <w:tcW w:w="2460" w:type="dxa"/>
            <w:shd w:val="clear" w:color="auto" w:fill="auto"/>
          </w:tcPr>
          <w:p>
            <w:pPr>
              <w:spacing w:line="460" w:lineRule="exact"/>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0</w:t>
            </w:r>
          </w:p>
        </w:tc>
        <w:tc>
          <w:tcPr>
            <w:tcW w:w="2025" w:type="dxa"/>
            <w:shd w:val="clear" w:color="auto" w:fill="auto"/>
          </w:tcPr>
          <w:p>
            <w:pPr>
              <w:spacing w:line="460" w:lineRule="exact"/>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0</w:t>
            </w:r>
          </w:p>
        </w:tc>
        <w:tc>
          <w:tcPr>
            <w:tcW w:w="2295" w:type="dxa"/>
            <w:shd w:val="clear" w:color="auto" w:fill="auto"/>
          </w:tcPr>
          <w:p>
            <w:pPr>
              <w:spacing w:line="460" w:lineRule="exact"/>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信息内容</w:t>
            </w:r>
          </w:p>
        </w:tc>
        <w:tc>
          <w:tcPr>
            <w:tcW w:w="2460"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上一年项目数量</w:t>
            </w:r>
          </w:p>
        </w:tc>
        <w:tc>
          <w:tcPr>
            <w:tcW w:w="2025"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本年增/减</w:t>
            </w:r>
          </w:p>
        </w:tc>
        <w:tc>
          <w:tcPr>
            <w:tcW w:w="2295"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行政许可</w:t>
            </w:r>
          </w:p>
        </w:tc>
        <w:tc>
          <w:tcPr>
            <w:tcW w:w="2460" w:type="dxa"/>
            <w:shd w:val="clear" w:color="auto" w:fill="auto"/>
          </w:tcPr>
          <w:p>
            <w:pPr>
              <w:spacing w:line="460" w:lineRule="exact"/>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0</w:t>
            </w:r>
          </w:p>
        </w:tc>
        <w:tc>
          <w:tcPr>
            <w:tcW w:w="2025" w:type="dxa"/>
            <w:shd w:val="clear" w:color="auto" w:fill="auto"/>
          </w:tcPr>
          <w:p>
            <w:pPr>
              <w:spacing w:line="460" w:lineRule="exact"/>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0</w:t>
            </w:r>
          </w:p>
        </w:tc>
        <w:tc>
          <w:tcPr>
            <w:tcW w:w="2295" w:type="dxa"/>
            <w:shd w:val="clear" w:color="auto" w:fill="auto"/>
          </w:tcPr>
          <w:p>
            <w:pPr>
              <w:spacing w:line="460" w:lineRule="exact"/>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其他对外管理服务事项</w:t>
            </w:r>
          </w:p>
        </w:tc>
        <w:tc>
          <w:tcPr>
            <w:tcW w:w="2460" w:type="dxa"/>
            <w:shd w:val="clear" w:color="auto" w:fill="auto"/>
          </w:tcPr>
          <w:p>
            <w:pPr>
              <w:spacing w:line="460" w:lineRule="exact"/>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0</w:t>
            </w:r>
          </w:p>
        </w:tc>
        <w:tc>
          <w:tcPr>
            <w:tcW w:w="2025" w:type="dxa"/>
            <w:shd w:val="clear" w:color="auto" w:fill="auto"/>
          </w:tcPr>
          <w:p>
            <w:pPr>
              <w:spacing w:line="460" w:lineRule="exact"/>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0</w:t>
            </w:r>
          </w:p>
        </w:tc>
        <w:tc>
          <w:tcPr>
            <w:tcW w:w="2295" w:type="dxa"/>
            <w:shd w:val="clear" w:color="auto" w:fill="auto"/>
          </w:tcPr>
          <w:p>
            <w:pPr>
              <w:spacing w:line="460" w:lineRule="exact"/>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信息内容</w:t>
            </w:r>
          </w:p>
        </w:tc>
        <w:tc>
          <w:tcPr>
            <w:tcW w:w="2460"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上一年项目数量</w:t>
            </w:r>
          </w:p>
        </w:tc>
        <w:tc>
          <w:tcPr>
            <w:tcW w:w="2025"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本年增/减</w:t>
            </w:r>
          </w:p>
        </w:tc>
        <w:tc>
          <w:tcPr>
            <w:tcW w:w="2295"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行政处罚</w:t>
            </w:r>
          </w:p>
        </w:tc>
        <w:tc>
          <w:tcPr>
            <w:tcW w:w="2460" w:type="dxa"/>
            <w:shd w:val="clear" w:color="auto" w:fill="auto"/>
          </w:tcPr>
          <w:p>
            <w:pPr>
              <w:spacing w:line="460" w:lineRule="exact"/>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0</w:t>
            </w:r>
          </w:p>
        </w:tc>
        <w:tc>
          <w:tcPr>
            <w:tcW w:w="2025" w:type="dxa"/>
            <w:shd w:val="clear" w:color="auto" w:fill="auto"/>
          </w:tcPr>
          <w:p>
            <w:pPr>
              <w:spacing w:line="460" w:lineRule="exact"/>
              <w:jc w:val="left"/>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0</w:t>
            </w:r>
          </w:p>
        </w:tc>
        <w:tc>
          <w:tcPr>
            <w:tcW w:w="2295" w:type="dxa"/>
            <w:shd w:val="clear" w:color="auto" w:fill="auto"/>
          </w:tcPr>
          <w:p>
            <w:pPr>
              <w:spacing w:line="460" w:lineRule="exact"/>
              <w:jc w:val="left"/>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行政强制</w:t>
            </w:r>
          </w:p>
        </w:tc>
        <w:tc>
          <w:tcPr>
            <w:tcW w:w="2460" w:type="dxa"/>
            <w:shd w:val="clear" w:color="auto" w:fill="auto"/>
          </w:tcPr>
          <w:p>
            <w:pPr>
              <w:spacing w:line="460" w:lineRule="exact"/>
              <w:jc w:val="left"/>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0</w:t>
            </w:r>
          </w:p>
        </w:tc>
        <w:tc>
          <w:tcPr>
            <w:tcW w:w="2025" w:type="dxa"/>
            <w:shd w:val="clear" w:color="auto" w:fill="auto"/>
          </w:tcPr>
          <w:p>
            <w:pPr>
              <w:spacing w:line="460" w:lineRule="exact"/>
              <w:jc w:val="left"/>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0</w:t>
            </w:r>
          </w:p>
        </w:tc>
        <w:tc>
          <w:tcPr>
            <w:tcW w:w="2295" w:type="dxa"/>
            <w:shd w:val="clear" w:color="auto" w:fill="auto"/>
          </w:tcPr>
          <w:p>
            <w:pPr>
              <w:spacing w:line="460" w:lineRule="exact"/>
              <w:jc w:val="left"/>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信息内容</w:t>
            </w:r>
          </w:p>
        </w:tc>
        <w:tc>
          <w:tcPr>
            <w:tcW w:w="2460"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上一年项目数量</w:t>
            </w:r>
          </w:p>
        </w:tc>
        <w:tc>
          <w:tcPr>
            <w:tcW w:w="4320" w:type="dxa"/>
            <w:gridSpan w:val="2"/>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行政事业性收费</w:t>
            </w:r>
          </w:p>
        </w:tc>
        <w:tc>
          <w:tcPr>
            <w:tcW w:w="2460" w:type="dxa"/>
            <w:shd w:val="clear" w:color="auto" w:fill="auto"/>
          </w:tcPr>
          <w:p>
            <w:pPr>
              <w:spacing w:line="460" w:lineRule="exact"/>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0</w:t>
            </w:r>
          </w:p>
        </w:tc>
        <w:tc>
          <w:tcPr>
            <w:tcW w:w="4320" w:type="dxa"/>
            <w:gridSpan w:val="2"/>
            <w:shd w:val="clear" w:color="auto" w:fill="auto"/>
          </w:tcPr>
          <w:p>
            <w:pPr>
              <w:spacing w:line="460" w:lineRule="exact"/>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信息内容</w:t>
            </w:r>
          </w:p>
        </w:tc>
        <w:tc>
          <w:tcPr>
            <w:tcW w:w="2460"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采购项目数量</w:t>
            </w:r>
          </w:p>
        </w:tc>
        <w:tc>
          <w:tcPr>
            <w:tcW w:w="4320" w:type="dxa"/>
            <w:gridSpan w:val="2"/>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政府集中采购</w:t>
            </w:r>
          </w:p>
        </w:tc>
        <w:tc>
          <w:tcPr>
            <w:tcW w:w="2460" w:type="dxa"/>
            <w:shd w:val="clear" w:color="auto" w:fill="auto"/>
          </w:tcPr>
          <w:p>
            <w:pPr>
              <w:spacing w:line="460" w:lineRule="exact"/>
              <w:jc w:val="left"/>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0</w:t>
            </w:r>
          </w:p>
        </w:tc>
        <w:tc>
          <w:tcPr>
            <w:tcW w:w="4320" w:type="dxa"/>
            <w:gridSpan w:val="2"/>
            <w:shd w:val="clear" w:color="auto" w:fill="auto"/>
          </w:tcPr>
          <w:p>
            <w:pPr>
              <w:spacing w:line="460" w:lineRule="exact"/>
              <w:jc w:val="left"/>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0</w:t>
            </w:r>
          </w:p>
        </w:tc>
      </w:tr>
    </w:tbl>
    <w:p>
      <w:pPr>
        <w:spacing w:line="540" w:lineRule="exact"/>
        <w:rPr>
          <w:rFonts w:hint="eastAsia" w:ascii="仿宋" w:hAnsi="仿宋" w:eastAsia="仿宋" w:cs="仿宋"/>
          <w:b/>
          <w:sz w:val="32"/>
          <w:szCs w:val="32"/>
        </w:rPr>
      </w:pPr>
    </w:p>
    <w:p>
      <w:pPr>
        <w:numPr>
          <w:ilvl w:val="0"/>
          <w:numId w:val="0"/>
        </w:numPr>
        <w:spacing w:line="540" w:lineRule="exact"/>
        <w:rPr>
          <w:rFonts w:hint="eastAsia" w:ascii="仿宋" w:hAnsi="仿宋" w:eastAsia="仿宋" w:cs="仿宋"/>
          <w:b w:val="0"/>
          <w:bCs/>
          <w:sz w:val="32"/>
          <w:szCs w:val="32"/>
        </w:rPr>
      </w:pPr>
      <w:r>
        <w:rPr>
          <w:rFonts w:hint="eastAsia" w:ascii="仿宋" w:hAnsi="仿宋" w:eastAsia="仿宋" w:cs="仿宋"/>
          <w:b w:val="0"/>
          <w:bCs/>
          <w:sz w:val="32"/>
          <w:szCs w:val="32"/>
          <w:lang w:eastAsia="zh-CN"/>
        </w:rPr>
        <w:t>三、</w:t>
      </w:r>
      <w:r>
        <w:rPr>
          <w:rFonts w:hint="eastAsia" w:ascii="仿宋" w:hAnsi="仿宋" w:eastAsia="仿宋" w:cs="仿宋"/>
          <w:b w:val="0"/>
          <w:bCs/>
          <w:sz w:val="32"/>
          <w:szCs w:val="32"/>
        </w:rPr>
        <w:t>收到和处理政府信息公开申请情况</w:t>
      </w:r>
    </w:p>
    <w:tbl>
      <w:tblPr>
        <w:tblStyle w:val="4"/>
        <w:tblW w:w="925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50"/>
        <w:gridCol w:w="850"/>
        <w:gridCol w:w="2079"/>
        <w:gridCol w:w="810"/>
        <w:gridCol w:w="752"/>
        <w:gridCol w:w="752"/>
        <w:gridCol w:w="964"/>
        <w:gridCol w:w="900"/>
        <w:gridCol w:w="627"/>
        <w:gridCol w:w="6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rPr>
            </w:pPr>
            <w:r>
              <w:rPr>
                <w:rFonts w:hint="eastAsia" w:ascii="仿宋" w:hAnsi="仿宋" w:eastAsia="仿宋" w:cs="仿宋"/>
                <w:kern w:val="0"/>
                <w:sz w:val="32"/>
                <w:szCs w:val="32"/>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rPr>
            </w:pPr>
            <w:r>
              <w:rPr>
                <w:rFonts w:hint="eastAsia" w:ascii="仿宋" w:hAnsi="仿宋" w:eastAsia="仿宋" w:cs="仿宋"/>
                <w:kern w:val="0"/>
                <w:sz w:val="32"/>
                <w:szCs w:val="32"/>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1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仿宋" w:hAnsi="仿宋" w:eastAsia="仿宋" w:cs="仿宋"/>
                <w:sz w:val="32"/>
                <w:szCs w:val="32"/>
              </w:rPr>
            </w:pPr>
            <w:r>
              <w:rPr>
                <w:rFonts w:hint="eastAsia" w:ascii="仿宋" w:hAnsi="仿宋" w:eastAsia="仿宋" w:cs="仿宋"/>
                <w:kern w:val="0"/>
                <w:sz w:val="32"/>
                <w:szCs w:val="32"/>
              </w:rPr>
              <w:t>自然人</w:t>
            </w:r>
          </w:p>
        </w:tc>
        <w:tc>
          <w:tcPr>
            <w:tcW w:w="399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仿宋" w:hAnsi="仿宋" w:eastAsia="仿宋" w:cs="仿宋"/>
                <w:sz w:val="32"/>
                <w:szCs w:val="32"/>
              </w:rPr>
            </w:pPr>
            <w:r>
              <w:rPr>
                <w:rFonts w:hint="eastAsia" w:ascii="仿宋" w:hAnsi="仿宋" w:eastAsia="仿宋" w:cs="仿宋"/>
                <w:kern w:val="0"/>
                <w:sz w:val="32"/>
                <w:szCs w:val="32"/>
              </w:rPr>
              <w:t>法人或其他组织</w:t>
            </w:r>
          </w:p>
        </w:tc>
        <w:tc>
          <w:tcPr>
            <w:tcW w:w="6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rPr>
            </w:pPr>
            <w:r>
              <w:rPr>
                <w:rFonts w:hint="eastAsia" w:ascii="仿宋" w:hAnsi="仿宋" w:eastAsia="仿宋" w:cs="仿宋"/>
                <w:kern w:val="0"/>
                <w:sz w:val="32"/>
                <w:szCs w:val="32"/>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10" w:type="dxa"/>
            <w:vMerge w:val="continue"/>
            <w:tcBorders>
              <w:top w:val="nil"/>
              <w:left w:val="nil"/>
              <w:bottom w:val="single" w:color="auto" w:sz="8" w:space="0"/>
              <w:right w:val="single" w:color="auto" w:sz="8" w:space="0"/>
            </w:tcBorders>
            <w:vAlign w:val="center"/>
          </w:tcPr>
          <w:p>
            <w:pPr>
              <w:snapToGrid w:val="0"/>
              <w:spacing w:line="300" w:lineRule="exact"/>
              <w:jc w:val="left"/>
              <w:rPr>
                <w:rFonts w:hint="eastAsia" w:ascii="仿宋" w:hAnsi="仿宋" w:eastAsia="仿宋" w:cs="仿宋"/>
                <w:sz w:val="32"/>
                <w:szCs w:val="32"/>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仿宋" w:hAnsi="仿宋" w:eastAsia="仿宋" w:cs="仿宋"/>
                <w:sz w:val="32"/>
                <w:szCs w:val="32"/>
              </w:rPr>
            </w:pPr>
            <w:r>
              <w:rPr>
                <w:rFonts w:hint="eastAsia" w:ascii="仿宋" w:hAnsi="仿宋" w:eastAsia="仿宋" w:cs="仿宋"/>
                <w:kern w:val="0"/>
                <w:sz w:val="32"/>
                <w:szCs w:val="32"/>
              </w:rPr>
              <w:t>商业企业</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仿宋" w:hAnsi="仿宋" w:eastAsia="仿宋" w:cs="仿宋"/>
                <w:sz w:val="32"/>
                <w:szCs w:val="32"/>
              </w:rPr>
            </w:pPr>
            <w:r>
              <w:rPr>
                <w:rFonts w:hint="eastAsia" w:ascii="仿宋" w:hAnsi="仿宋" w:eastAsia="仿宋" w:cs="仿宋"/>
                <w:kern w:val="0"/>
                <w:sz w:val="32"/>
                <w:szCs w:val="32"/>
              </w:rPr>
              <w:t>科研机构</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仿宋" w:hAnsi="仿宋" w:eastAsia="仿宋" w:cs="仿宋"/>
                <w:sz w:val="32"/>
                <w:szCs w:val="32"/>
              </w:rPr>
            </w:pPr>
            <w:r>
              <w:rPr>
                <w:rFonts w:hint="eastAsia" w:ascii="仿宋" w:hAnsi="仿宋" w:eastAsia="仿宋" w:cs="仿宋"/>
                <w:kern w:val="0"/>
                <w:sz w:val="32"/>
                <w:szCs w:val="32"/>
              </w:rPr>
              <w:t>社会公益组织</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仿宋" w:hAnsi="仿宋" w:eastAsia="仿宋" w:cs="仿宋"/>
                <w:sz w:val="32"/>
                <w:szCs w:val="32"/>
              </w:rPr>
            </w:pPr>
            <w:r>
              <w:rPr>
                <w:rFonts w:hint="eastAsia" w:ascii="仿宋" w:hAnsi="仿宋" w:eastAsia="仿宋" w:cs="仿宋"/>
                <w:kern w:val="0"/>
                <w:sz w:val="32"/>
                <w:szCs w:val="32"/>
              </w:rPr>
              <w:t>法律服务机构</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hint="eastAsia" w:ascii="仿宋" w:hAnsi="仿宋" w:eastAsia="仿宋" w:cs="仿宋"/>
                <w:sz w:val="32"/>
                <w:szCs w:val="32"/>
              </w:rPr>
            </w:pPr>
            <w:r>
              <w:rPr>
                <w:rFonts w:hint="eastAsia" w:ascii="仿宋" w:hAnsi="仿宋" w:eastAsia="仿宋" w:cs="仿宋"/>
                <w:kern w:val="0"/>
                <w:sz w:val="32"/>
                <w:szCs w:val="32"/>
              </w:rPr>
              <w:t>其他</w:t>
            </w:r>
          </w:p>
        </w:tc>
        <w:tc>
          <w:tcPr>
            <w:tcW w:w="675" w:type="dxa"/>
            <w:vMerge w:val="continue"/>
            <w:tcBorders>
              <w:top w:val="single" w:color="auto" w:sz="8" w:space="0"/>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pacing w:val="-6"/>
                <w:sz w:val="32"/>
                <w:szCs w:val="32"/>
              </w:rPr>
            </w:pPr>
            <w:r>
              <w:rPr>
                <w:rFonts w:hint="eastAsia" w:ascii="仿宋" w:hAnsi="仿宋" w:eastAsia="仿宋" w:cs="仿宋"/>
                <w:spacing w:val="-6"/>
                <w:kern w:val="0"/>
                <w:sz w:val="32"/>
                <w:szCs w:val="32"/>
              </w:rPr>
              <w:t>一、本年新收政府信息公开申请数量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pacing w:val="-6"/>
                <w:sz w:val="32"/>
                <w:szCs w:val="32"/>
              </w:rPr>
            </w:pPr>
            <w:r>
              <w:rPr>
                <w:rFonts w:hint="eastAsia" w:ascii="仿宋" w:hAnsi="仿宋" w:eastAsia="仿宋" w:cs="仿宋"/>
                <w:spacing w:val="-6"/>
                <w:kern w:val="0"/>
                <w:sz w:val="32"/>
                <w:szCs w:val="32"/>
              </w:rPr>
              <w:t>二、上年结转政府信息公开申请数量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8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三、本年度办理结果</w:t>
            </w: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（一）予以公开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w:t>
            </w:r>
            <w:r>
              <w:rPr>
                <w:rFonts w:hint="eastAsia" w:ascii="仿宋" w:hAnsi="仿宋" w:eastAsia="仿宋" w:cs="仿宋"/>
                <w:spacing w:val="-2"/>
                <w:kern w:val="0"/>
                <w:sz w:val="32"/>
                <w:szCs w:val="32"/>
              </w:rPr>
              <w:t>二）部分公开（区分处理的，只计这一情形，不计其他情形）</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（三）不予公开</w:t>
            </w: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1.属于国家秘密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2.其他法律行政法规禁止公开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b/>
                <w:bCs/>
                <w:kern w:val="2"/>
                <w:sz w:val="32"/>
                <w:szCs w:val="32"/>
                <w:lang w:val="en-US" w:eastAsia="zh-CN" w:bidi="ar-SA"/>
              </w:rPr>
            </w:pPr>
            <w:r>
              <w:rPr>
                <w:rFonts w:hint="eastAsia" w:ascii="仿宋" w:hAnsi="仿宋" w:eastAsia="仿宋" w:cs="仿宋"/>
                <w:b/>
                <w:bCs/>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3.危及“三安全一稳定”</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4.保护第三方合法权益</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5.属于三类内部事务信息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6.属于四类过程性信息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pacing w:val="-4"/>
                <w:sz w:val="32"/>
                <w:szCs w:val="32"/>
              </w:rPr>
            </w:pPr>
            <w:r>
              <w:rPr>
                <w:rFonts w:hint="eastAsia" w:ascii="仿宋" w:hAnsi="仿宋" w:eastAsia="仿宋" w:cs="仿宋"/>
                <w:spacing w:val="-4"/>
                <w:kern w:val="0"/>
                <w:sz w:val="32"/>
                <w:szCs w:val="32"/>
              </w:rPr>
              <w:t>7.属于行政执法案卷</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0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pacing w:val="-4"/>
                <w:sz w:val="32"/>
                <w:szCs w:val="32"/>
              </w:rPr>
            </w:pPr>
            <w:r>
              <w:rPr>
                <w:rFonts w:hint="eastAsia" w:ascii="仿宋" w:hAnsi="仿宋" w:eastAsia="仿宋" w:cs="仿宋"/>
                <w:spacing w:val="-4"/>
                <w:kern w:val="0"/>
                <w:sz w:val="32"/>
                <w:szCs w:val="32"/>
              </w:rPr>
              <w:t>8.属于行政查询事项</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（四）无法提供</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1.本机关不掌握相关政府信息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2.没有现成信息需要另行制作</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3.补正后申请内容仍不明确</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（五）不予处理</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1.信访举报投诉类申请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2.重复申请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3.要求提供公开出版物</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4.无正当理由大量反复申请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5.要求行政机关确认或重新出具已获取信息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9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（六）其他处理</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0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hint="eastAsia" w:ascii="仿宋" w:hAnsi="仿宋" w:eastAsia="仿宋" w:cs="仿宋"/>
                <w:sz w:val="32"/>
                <w:szCs w:val="32"/>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（七）总计</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hint="eastAsia" w:ascii="仿宋" w:hAnsi="仿宋" w:eastAsia="仿宋" w:cs="仿宋"/>
                <w:sz w:val="32"/>
                <w:szCs w:val="32"/>
              </w:rPr>
            </w:pPr>
            <w:r>
              <w:rPr>
                <w:rFonts w:hint="eastAsia" w:ascii="仿宋" w:hAnsi="仿宋" w:eastAsia="仿宋" w:cs="仿宋"/>
                <w:kern w:val="0"/>
                <w:sz w:val="32"/>
                <w:szCs w:val="32"/>
              </w:rPr>
              <w:t>四、结转下年度继续办理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bl>
    <w:p>
      <w:pPr>
        <w:spacing w:line="540" w:lineRule="exact"/>
        <w:ind w:left="640"/>
        <w:rPr>
          <w:rFonts w:hint="eastAsia" w:ascii="仿宋" w:hAnsi="仿宋" w:eastAsia="仿宋" w:cs="仿宋"/>
          <w:sz w:val="32"/>
          <w:szCs w:val="32"/>
        </w:rPr>
      </w:pPr>
    </w:p>
    <w:p>
      <w:pPr>
        <w:numPr>
          <w:ilvl w:val="0"/>
          <w:numId w:val="0"/>
        </w:numPr>
        <w:spacing w:line="540" w:lineRule="exact"/>
        <w:rPr>
          <w:rFonts w:hint="eastAsia" w:ascii="仿宋" w:hAnsi="仿宋" w:eastAsia="仿宋" w:cs="仿宋"/>
          <w:b w:val="0"/>
          <w:bCs/>
          <w:sz w:val="32"/>
          <w:szCs w:val="32"/>
        </w:rPr>
      </w:pPr>
      <w:r>
        <w:rPr>
          <w:rFonts w:hint="eastAsia" w:ascii="仿宋" w:hAnsi="仿宋" w:eastAsia="仿宋" w:cs="仿宋"/>
          <w:b w:val="0"/>
          <w:bCs/>
          <w:sz w:val="32"/>
          <w:szCs w:val="32"/>
          <w:lang w:eastAsia="zh-CN"/>
        </w:rPr>
        <w:t>四、</w:t>
      </w:r>
      <w:r>
        <w:rPr>
          <w:rFonts w:hint="eastAsia" w:ascii="仿宋" w:hAnsi="仿宋" w:eastAsia="仿宋" w:cs="仿宋"/>
          <w:b w:val="0"/>
          <w:bCs/>
          <w:sz w:val="32"/>
          <w:szCs w:val="32"/>
        </w:rPr>
        <w:t>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hint="eastAsia" w:ascii="仿宋" w:hAnsi="仿宋" w:eastAsia="仿宋" w:cs="仿宋"/>
                <w:sz w:val="32"/>
                <w:szCs w:val="32"/>
                <w:lang w:eastAsia="zh-CN"/>
              </w:rPr>
            </w:pPr>
            <w:r>
              <w:rPr>
                <w:rFonts w:hint="eastAsia" w:ascii="仿宋" w:hAnsi="仿宋" w:eastAsia="仿宋" w:cs="仿宋"/>
                <w:sz w:val="32"/>
                <w:szCs w:val="32"/>
              </w:rPr>
              <w:t>行政复议</w:t>
            </w:r>
          </w:p>
          <w:p>
            <w:pPr>
              <w:spacing w:line="540" w:lineRule="exact"/>
              <w:jc w:val="center"/>
              <w:rPr>
                <w:rFonts w:hint="eastAsia" w:ascii="仿宋" w:hAnsi="仿宋" w:eastAsia="仿宋" w:cs="仿宋"/>
                <w:sz w:val="32"/>
                <w:szCs w:val="32"/>
                <w:lang w:eastAsia="zh-CN"/>
              </w:rPr>
            </w:pPr>
          </w:p>
        </w:tc>
        <w:tc>
          <w:tcPr>
            <w:tcW w:w="5680" w:type="dxa"/>
            <w:gridSpan w:val="10"/>
            <w:shd w:val="clear" w:color="auto" w:fill="auto"/>
            <w:vAlign w:val="center"/>
          </w:tcPr>
          <w:p>
            <w:pPr>
              <w:spacing w:line="540" w:lineRule="exact"/>
              <w:jc w:val="center"/>
              <w:rPr>
                <w:rFonts w:hint="eastAsia" w:ascii="仿宋" w:hAnsi="仿宋" w:eastAsia="仿宋" w:cs="仿宋"/>
                <w:sz w:val="32"/>
                <w:szCs w:val="32"/>
                <w:lang w:eastAsia="zh-CN"/>
              </w:rPr>
            </w:pPr>
            <w:r>
              <w:rPr>
                <w:rFonts w:hint="eastAsia" w:ascii="仿宋" w:hAnsi="仿宋" w:eastAsia="仿宋" w:cs="仿宋"/>
                <w:sz w:val="32"/>
                <w:szCs w:val="32"/>
              </w:rPr>
              <w:t>行政诉讼</w:t>
            </w:r>
          </w:p>
          <w:p>
            <w:pPr>
              <w:spacing w:line="540" w:lineRule="exact"/>
              <w:jc w:val="center"/>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结果维护</w:t>
            </w:r>
          </w:p>
        </w:tc>
        <w:tc>
          <w:tcPr>
            <w:tcW w:w="568" w:type="dxa"/>
            <w:vMerge w:val="restart"/>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结果纠正</w:t>
            </w:r>
          </w:p>
        </w:tc>
        <w:tc>
          <w:tcPr>
            <w:tcW w:w="568" w:type="dxa"/>
            <w:vMerge w:val="restart"/>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其他结果</w:t>
            </w:r>
          </w:p>
        </w:tc>
        <w:tc>
          <w:tcPr>
            <w:tcW w:w="568" w:type="dxa"/>
            <w:vMerge w:val="restart"/>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尚未审结</w:t>
            </w:r>
          </w:p>
        </w:tc>
        <w:tc>
          <w:tcPr>
            <w:tcW w:w="568" w:type="dxa"/>
            <w:vMerge w:val="restart"/>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总计</w:t>
            </w:r>
          </w:p>
        </w:tc>
        <w:tc>
          <w:tcPr>
            <w:tcW w:w="2840" w:type="dxa"/>
            <w:gridSpan w:val="5"/>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未经复议直接起诉</w:t>
            </w:r>
          </w:p>
        </w:tc>
        <w:tc>
          <w:tcPr>
            <w:tcW w:w="2840" w:type="dxa"/>
            <w:gridSpan w:val="5"/>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hint="eastAsia" w:ascii="仿宋" w:hAnsi="仿宋" w:eastAsia="仿宋" w:cs="仿宋"/>
                <w:sz w:val="32"/>
                <w:szCs w:val="32"/>
              </w:rPr>
            </w:pPr>
          </w:p>
        </w:tc>
        <w:tc>
          <w:tcPr>
            <w:tcW w:w="568" w:type="dxa"/>
            <w:vMerge w:val="continue"/>
            <w:shd w:val="clear" w:color="auto" w:fill="auto"/>
            <w:vAlign w:val="center"/>
          </w:tcPr>
          <w:p>
            <w:pPr>
              <w:spacing w:line="540" w:lineRule="exact"/>
              <w:jc w:val="center"/>
              <w:rPr>
                <w:rFonts w:hint="eastAsia" w:ascii="仿宋" w:hAnsi="仿宋" w:eastAsia="仿宋" w:cs="仿宋"/>
                <w:sz w:val="32"/>
                <w:szCs w:val="32"/>
              </w:rPr>
            </w:pPr>
          </w:p>
        </w:tc>
        <w:tc>
          <w:tcPr>
            <w:tcW w:w="568" w:type="dxa"/>
            <w:vMerge w:val="continue"/>
            <w:shd w:val="clear" w:color="auto" w:fill="auto"/>
            <w:vAlign w:val="center"/>
          </w:tcPr>
          <w:p>
            <w:pPr>
              <w:spacing w:line="540" w:lineRule="exact"/>
              <w:jc w:val="center"/>
              <w:rPr>
                <w:rFonts w:hint="eastAsia" w:ascii="仿宋" w:hAnsi="仿宋" w:eastAsia="仿宋" w:cs="仿宋"/>
                <w:sz w:val="32"/>
                <w:szCs w:val="32"/>
              </w:rPr>
            </w:pPr>
          </w:p>
        </w:tc>
        <w:tc>
          <w:tcPr>
            <w:tcW w:w="568" w:type="dxa"/>
            <w:vMerge w:val="continue"/>
            <w:shd w:val="clear" w:color="auto" w:fill="auto"/>
            <w:vAlign w:val="center"/>
          </w:tcPr>
          <w:p>
            <w:pPr>
              <w:spacing w:line="540" w:lineRule="exact"/>
              <w:jc w:val="center"/>
              <w:rPr>
                <w:rFonts w:hint="eastAsia" w:ascii="仿宋" w:hAnsi="仿宋" w:eastAsia="仿宋" w:cs="仿宋"/>
                <w:sz w:val="32"/>
                <w:szCs w:val="32"/>
              </w:rPr>
            </w:pPr>
          </w:p>
        </w:tc>
        <w:tc>
          <w:tcPr>
            <w:tcW w:w="568" w:type="dxa"/>
            <w:vMerge w:val="continue"/>
            <w:shd w:val="clear" w:color="auto" w:fill="auto"/>
            <w:vAlign w:val="center"/>
          </w:tcPr>
          <w:p>
            <w:pPr>
              <w:spacing w:line="540" w:lineRule="exact"/>
              <w:jc w:val="center"/>
              <w:rPr>
                <w:rFonts w:hint="eastAsia" w:ascii="仿宋" w:hAnsi="仿宋" w:eastAsia="仿宋" w:cs="仿宋"/>
                <w:sz w:val="32"/>
                <w:szCs w:val="32"/>
              </w:rPr>
            </w:pPr>
          </w:p>
        </w:tc>
        <w:tc>
          <w:tcPr>
            <w:tcW w:w="568" w:type="dxa"/>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结果维护</w:t>
            </w:r>
          </w:p>
        </w:tc>
        <w:tc>
          <w:tcPr>
            <w:tcW w:w="568" w:type="dxa"/>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结果纠正</w:t>
            </w:r>
          </w:p>
        </w:tc>
        <w:tc>
          <w:tcPr>
            <w:tcW w:w="568" w:type="dxa"/>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其他结果</w:t>
            </w:r>
          </w:p>
        </w:tc>
        <w:tc>
          <w:tcPr>
            <w:tcW w:w="568" w:type="dxa"/>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尚未审结</w:t>
            </w:r>
          </w:p>
        </w:tc>
        <w:tc>
          <w:tcPr>
            <w:tcW w:w="568" w:type="dxa"/>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总计</w:t>
            </w:r>
          </w:p>
        </w:tc>
        <w:tc>
          <w:tcPr>
            <w:tcW w:w="568" w:type="dxa"/>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结果维护</w:t>
            </w:r>
          </w:p>
        </w:tc>
        <w:tc>
          <w:tcPr>
            <w:tcW w:w="568" w:type="dxa"/>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结果纠正</w:t>
            </w:r>
          </w:p>
        </w:tc>
        <w:tc>
          <w:tcPr>
            <w:tcW w:w="568" w:type="dxa"/>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其他结果</w:t>
            </w:r>
          </w:p>
        </w:tc>
        <w:tc>
          <w:tcPr>
            <w:tcW w:w="568" w:type="dxa"/>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尚未审结</w:t>
            </w:r>
          </w:p>
        </w:tc>
        <w:tc>
          <w:tcPr>
            <w:tcW w:w="568" w:type="dxa"/>
            <w:shd w:val="clear" w:color="auto" w:fill="auto"/>
            <w:vAlign w:val="center"/>
          </w:tcPr>
          <w:p>
            <w:pPr>
              <w:spacing w:line="540" w:lineRule="exact"/>
              <w:jc w:val="center"/>
              <w:rPr>
                <w:rFonts w:hint="eastAsia" w:ascii="仿宋" w:hAnsi="仿宋" w:eastAsia="仿宋" w:cs="仿宋"/>
                <w:sz w:val="32"/>
                <w:szCs w:val="32"/>
              </w:rPr>
            </w:pPr>
            <w:r>
              <w:rPr>
                <w:rFonts w:hint="eastAsia" w:ascii="仿宋" w:hAnsi="仿宋" w:eastAsia="仿宋" w:cs="仿宋"/>
                <w:sz w:val="32"/>
                <w:szCs w:val="3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568" w:type="dxa"/>
            <w:shd w:val="clear" w:color="auto" w:fill="auto"/>
          </w:tcPr>
          <w:p>
            <w:pPr>
              <w:spacing w:line="54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568" w:type="dxa"/>
            <w:shd w:val="clear" w:color="auto" w:fill="auto"/>
          </w:tcPr>
          <w:p>
            <w:pPr>
              <w:spacing w:line="54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c>
          <w:tcPr>
            <w:tcW w:w="568" w:type="dxa"/>
            <w:shd w:val="clear" w:color="auto" w:fill="auto"/>
            <w:vAlign w:val="top"/>
          </w:tcPr>
          <w:p>
            <w:pPr>
              <w:spacing w:line="540" w:lineRule="exact"/>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568" w:type="dxa"/>
            <w:shd w:val="clear" w:color="auto" w:fill="auto"/>
            <w:vAlign w:val="top"/>
          </w:tcPr>
          <w:p>
            <w:pPr>
              <w:spacing w:line="540" w:lineRule="exact"/>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568" w:type="dxa"/>
            <w:shd w:val="clear" w:color="auto" w:fill="auto"/>
            <w:vAlign w:val="top"/>
          </w:tcPr>
          <w:p>
            <w:pPr>
              <w:spacing w:line="540" w:lineRule="exact"/>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568" w:type="dxa"/>
            <w:shd w:val="clear" w:color="auto" w:fill="auto"/>
            <w:vAlign w:val="top"/>
          </w:tcPr>
          <w:p>
            <w:pPr>
              <w:spacing w:line="540" w:lineRule="exact"/>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568" w:type="dxa"/>
            <w:shd w:val="clear" w:color="auto" w:fill="auto"/>
            <w:vAlign w:val="top"/>
          </w:tcPr>
          <w:p>
            <w:pPr>
              <w:spacing w:line="540" w:lineRule="exact"/>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568" w:type="dxa"/>
            <w:shd w:val="clear" w:color="auto" w:fill="auto"/>
            <w:vAlign w:val="top"/>
          </w:tcPr>
          <w:p>
            <w:pPr>
              <w:spacing w:line="540" w:lineRule="exact"/>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568" w:type="dxa"/>
            <w:shd w:val="clear" w:color="auto" w:fill="auto"/>
            <w:vAlign w:val="top"/>
          </w:tcPr>
          <w:p>
            <w:pPr>
              <w:spacing w:line="540" w:lineRule="exact"/>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568" w:type="dxa"/>
            <w:shd w:val="clear" w:color="auto" w:fill="auto"/>
            <w:vAlign w:val="top"/>
          </w:tcPr>
          <w:p>
            <w:pPr>
              <w:spacing w:line="540" w:lineRule="exact"/>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568" w:type="dxa"/>
            <w:shd w:val="clear" w:color="auto" w:fill="auto"/>
            <w:vAlign w:val="top"/>
          </w:tcPr>
          <w:p>
            <w:pPr>
              <w:spacing w:line="540" w:lineRule="exact"/>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568" w:type="dxa"/>
            <w:shd w:val="clear" w:color="auto" w:fill="auto"/>
            <w:vAlign w:val="top"/>
          </w:tcPr>
          <w:p>
            <w:pPr>
              <w:spacing w:line="540" w:lineRule="exact"/>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568" w:type="dxa"/>
            <w:shd w:val="clear" w:color="auto" w:fill="auto"/>
            <w:vAlign w:val="top"/>
          </w:tcPr>
          <w:p>
            <w:pPr>
              <w:spacing w:line="540" w:lineRule="exact"/>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c>
          <w:tcPr>
            <w:tcW w:w="568" w:type="dxa"/>
            <w:shd w:val="clear" w:color="auto" w:fill="auto"/>
            <w:vAlign w:val="top"/>
          </w:tcPr>
          <w:p>
            <w:pPr>
              <w:spacing w:line="540" w:lineRule="exact"/>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b w:val="0"/>
          <w:bCs/>
          <w:i w:val="0"/>
          <w:caps w:val="0"/>
          <w:color w:val="333333"/>
          <w:spacing w:val="0"/>
          <w:sz w:val="32"/>
          <w:szCs w:val="32"/>
          <w:shd w:val="clear" w:fill="FFFFFF"/>
          <w:lang w:val="en-US" w:eastAsia="zh-CN"/>
        </w:rPr>
      </w:pPr>
      <w:r>
        <w:rPr>
          <w:rFonts w:hint="eastAsia" w:ascii="仿宋" w:hAnsi="仿宋" w:eastAsia="仿宋" w:cs="仿宋"/>
          <w:b w:val="0"/>
          <w:bCs/>
          <w:i w:val="0"/>
          <w:caps w:val="0"/>
          <w:color w:val="333333"/>
          <w:spacing w:val="0"/>
          <w:sz w:val="32"/>
          <w:szCs w:val="32"/>
          <w:shd w:val="clear" w:fill="FFFFFF"/>
          <w:lang w:val="en-US" w:eastAsia="zh-CN"/>
        </w:rPr>
        <w:t>2021年，我局政府信息公开工作平稳有序，但仍存在不足之处：一是信息发布工作中存在质量不高、专业化低、主动性不强的问题；二是政策解读形式较为单一。结合以上不足，我分中心将采取以下措施完善政务公开工作：一加强工作人员业务能力培训，提高认识增强工作的主动性，进一步提升政府信息公开质量；二是丰富政策解读形式，提高图解、动漫、视频等解读形式的使用率。 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i w:val="0"/>
          <w:caps w:val="0"/>
          <w:color w:val="333333"/>
          <w:spacing w:val="0"/>
          <w:sz w:val="32"/>
          <w:szCs w:val="32"/>
          <w:shd w:val="clear" w:fill="FFFFFF"/>
          <w:lang w:val="en-US" w:eastAsia="zh-CN"/>
        </w:rPr>
      </w:pPr>
      <w:r>
        <w:rPr>
          <w:rFonts w:hint="eastAsia" w:ascii="仿宋" w:hAnsi="仿宋" w:eastAsia="仿宋" w:cs="仿宋"/>
          <w:b w:val="0"/>
          <w:bCs/>
          <w:i w:val="0"/>
          <w:caps w:val="0"/>
          <w:color w:val="333333"/>
          <w:spacing w:val="0"/>
          <w:sz w:val="32"/>
          <w:szCs w:val="32"/>
          <w:shd w:val="clear" w:fill="FFFFFF"/>
          <w:lang w:val="en-US" w:eastAsia="zh-CN"/>
        </w:rPr>
        <w:t>（一）需要报告的其他事项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i w:val="0"/>
          <w:caps w:val="0"/>
          <w:color w:val="333333"/>
          <w:spacing w:val="0"/>
          <w:sz w:val="32"/>
          <w:szCs w:val="32"/>
          <w:shd w:val="clear" w:fill="FFFFFF"/>
          <w:lang w:val="en-US" w:eastAsia="zh-CN"/>
        </w:rPr>
      </w:pPr>
      <w:r>
        <w:rPr>
          <w:rFonts w:hint="eastAsia" w:ascii="仿宋" w:hAnsi="仿宋" w:eastAsia="仿宋" w:cs="仿宋"/>
          <w:b w:val="0"/>
          <w:bCs/>
          <w:i w:val="0"/>
          <w:caps w:val="0"/>
          <w:color w:val="333333"/>
          <w:spacing w:val="0"/>
          <w:sz w:val="32"/>
          <w:szCs w:val="32"/>
          <w:shd w:val="clear" w:fill="FFFFFF"/>
          <w:lang w:val="en-US" w:eastAsia="zh-CN"/>
        </w:rPr>
        <w:t>2021年度我单位没有需要报告的其他事项。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i w:val="0"/>
          <w:caps w:val="0"/>
          <w:color w:val="333333"/>
          <w:spacing w:val="0"/>
          <w:sz w:val="32"/>
          <w:szCs w:val="32"/>
          <w:shd w:val="clear" w:fill="FFFFFF"/>
          <w:lang w:val="en-US" w:eastAsia="zh-CN"/>
        </w:rPr>
      </w:pPr>
      <w:r>
        <w:rPr>
          <w:rFonts w:hint="eastAsia" w:ascii="仿宋" w:hAnsi="仿宋" w:eastAsia="仿宋" w:cs="仿宋"/>
          <w:b w:val="0"/>
          <w:bCs/>
          <w:i w:val="0"/>
          <w:caps w:val="0"/>
          <w:color w:val="333333"/>
          <w:spacing w:val="0"/>
          <w:sz w:val="32"/>
          <w:szCs w:val="32"/>
          <w:shd w:val="clear" w:fill="FFFFFF"/>
          <w:lang w:val="en-US" w:eastAsia="zh-CN"/>
        </w:rPr>
        <w:t>（二）收取信息处理费的情况，在此专门报告2021年度我单位无收取信息处理费的情况。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iOTc4YmZjMDMyODcxYWJlMDlmYzM4NWQ1MzBiZjEifQ=="/>
  </w:docVars>
  <w:rsids>
    <w:rsidRoot w:val="00172A27"/>
    <w:rsid w:val="072F4BA5"/>
    <w:rsid w:val="0F42566A"/>
    <w:rsid w:val="0FE32618"/>
    <w:rsid w:val="160B4A21"/>
    <w:rsid w:val="17534F7D"/>
    <w:rsid w:val="1ADA1C54"/>
    <w:rsid w:val="1B931963"/>
    <w:rsid w:val="23B06487"/>
    <w:rsid w:val="2480713E"/>
    <w:rsid w:val="2D320A41"/>
    <w:rsid w:val="33BA0E8A"/>
    <w:rsid w:val="379A47D7"/>
    <w:rsid w:val="3F945B06"/>
    <w:rsid w:val="519D4381"/>
    <w:rsid w:val="566E50F8"/>
    <w:rsid w:val="56857A37"/>
    <w:rsid w:val="58275BDE"/>
    <w:rsid w:val="5AF85FA2"/>
    <w:rsid w:val="5FCE6A83"/>
    <w:rsid w:val="60767979"/>
    <w:rsid w:val="6E977BF4"/>
    <w:rsid w:val="6EB526D3"/>
    <w:rsid w:val="6EC41F3F"/>
    <w:rsid w:val="708F61BA"/>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3522</Words>
  <Characters>3640</Characters>
  <Lines>0</Lines>
  <Paragraphs>0</Paragraphs>
  <TotalTime>14</TotalTime>
  <ScaleCrop>false</ScaleCrop>
  <LinksUpToDate>false</LinksUpToDate>
  <CharactersWithSpaces>3667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10257906</cp:lastModifiedBy>
  <dcterms:modified xsi:type="dcterms:W3CDTF">2022-12-27T09:17:27Z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1C200D426F744F628D3951EDBFC22E4A</vt:lpwstr>
  </property>
</Properties>
</file>