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4"/>
          <w:szCs w:val="44"/>
        </w:rPr>
      </w:pPr>
      <w:bookmarkStart w:id="0" w:name="_GoBack"/>
      <w:r>
        <w:rPr>
          <w:rFonts w:hint="eastAsia" w:ascii="方正小标宋简体" w:hAnsi="方正小标宋简体" w:eastAsia="方正小标宋简体" w:cs="方正小标宋简体"/>
          <w:b w:val="0"/>
          <w:bCs/>
          <w:i w:val="0"/>
          <w:caps w:val="0"/>
          <w:color w:val="333333"/>
          <w:spacing w:val="0"/>
          <w:sz w:val="44"/>
          <w:szCs w:val="44"/>
          <w:shd w:val="clear" w:fill="FFFFFF"/>
          <w:lang w:val="en-US" w:eastAsia="zh-CN"/>
        </w:rPr>
        <w:t>程龙镇人民政府2020年</w:t>
      </w:r>
      <w:r>
        <w:rPr>
          <w:rFonts w:hint="eastAsia" w:ascii="方正小标宋简体" w:hAnsi="方正小标宋简体" w:eastAsia="方正小标宋简体" w:cs="方正小标宋简体"/>
          <w:b w:val="0"/>
          <w:bCs/>
          <w:i w:val="0"/>
          <w:caps w:val="0"/>
          <w:color w:val="333333"/>
          <w:spacing w:val="0"/>
          <w:sz w:val="44"/>
          <w:szCs w:val="44"/>
          <w:shd w:val="clear" w:fill="FFFFFF"/>
        </w:rPr>
        <w:t>政府信息公开工作年度报告</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80" w:firstLineChars="20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Theme="minorEastAsia" w:hAnsiTheme="minorEastAsia" w:eastAsiaTheme="minorEastAsia" w:cstheme="minorEastAsia"/>
          <w:i w:val="0"/>
          <w:caps w:val="0"/>
          <w:color w:val="333333"/>
          <w:spacing w:val="0"/>
          <w:sz w:val="24"/>
          <w:szCs w:val="24"/>
          <w:lang w:eastAsia="zh-CN"/>
        </w:rPr>
        <w:t>程龙镇</w:t>
      </w:r>
      <w:r>
        <w:rPr>
          <w:rFonts w:hint="eastAsia" w:asciiTheme="minorEastAsia" w:hAnsiTheme="minorEastAsia" w:eastAsiaTheme="minorEastAsia" w:cstheme="minorEastAsia"/>
          <w:i w:val="0"/>
          <w:caps w:val="0"/>
          <w:color w:val="333333"/>
          <w:spacing w:val="0"/>
          <w:sz w:val="24"/>
          <w:szCs w:val="24"/>
        </w:rPr>
        <w:t>结合有关统计数据编制。本年度报告中所列数据的统计期限自</w:t>
      </w:r>
      <w:r>
        <w:rPr>
          <w:rFonts w:hint="eastAsia" w:asciiTheme="minorEastAsia" w:hAnsiTheme="minorEastAsia" w:eastAsiaTheme="minorEastAsia" w:cstheme="minorEastAsia"/>
          <w:i w:val="0"/>
          <w:caps w:val="0"/>
          <w:color w:val="333333"/>
          <w:spacing w:val="0"/>
          <w:sz w:val="24"/>
          <w:szCs w:val="24"/>
          <w:lang w:val="en-US" w:eastAsia="zh-CN"/>
        </w:rPr>
        <w:t>2020</w:t>
      </w:r>
      <w:r>
        <w:rPr>
          <w:rFonts w:hint="eastAsia" w:asciiTheme="minorEastAsia" w:hAnsiTheme="minorEastAsia" w:eastAsiaTheme="minorEastAsia" w:cstheme="minorEastAsia"/>
          <w:i w:val="0"/>
          <w:caps w:val="0"/>
          <w:color w:val="333333"/>
          <w:spacing w:val="0"/>
          <w:sz w:val="24"/>
          <w:szCs w:val="24"/>
        </w:rPr>
        <w:t>年1月1日起至</w:t>
      </w:r>
      <w:r>
        <w:rPr>
          <w:rFonts w:hint="eastAsia" w:asciiTheme="minorEastAsia" w:hAnsiTheme="minorEastAsia" w:eastAsiaTheme="minorEastAsia" w:cstheme="minorEastAsia"/>
          <w:i w:val="0"/>
          <w:caps w:val="0"/>
          <w:color w:val="333333"/>
          <w:spacing w:val="0"/>
          <w:sz w:val="24"/>
          <w:szCs w:val="24"/>
          <w:lang w:val="en-US" w:eastAsia="zh-CN"/>
        </w:rPr>
        <w:t>2020</w:t>
      </w:r>
      <w:r>
        <w:rPr>
          <w:rFonts w:hint="eastAsia" w:asciiTheme="minorEastAsia" w:hAnsiTheme="minorEastAsia" w:eastAsiaTheme="minorEastAsia" w:cstheme="minorEastAsia"/>
          <w:i w:val="0"/>
          <w:caps w:val="0"/>
          <w:color w:val="333333"/>
          <w:spacing w:val="0"/>
          <w:sz w:val="24"/>
          <w:szCs w:val="24"/>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Theme="minorEastAsia" w:hAnsiTheme="minorEastAsia" w:eastAsiaTheme="minorEastAsia" w:cstheme="minorEastAsia"/>
          <w:i w:val="0"/>
          <w:caps w:val="0"/>
          <w:color w:val="333333"/>
          <w:spacing w:val="0"/>
          <w:sz w:val="24"/>
          <w:szCs w:val="24"/>
          <w:lang w:eastAsia="zh-CN"/>
        </w:rPr>
        <w:t>龙南市</w:t>
      </w:r>
      <w:r>
        <w:rPr>
          <w:rFonts w:hint="eastAsia" w:asciiTheme="minorEastAsia" w:hAnsiTheme="minorEastAsia" w:eastAsiaTheme="minorEastAsia" w:cstheme="minorEastAsia"/>
          <w:i w:val="0"/>
          <w:caps w:val="0"/>
          <w:color w:val="333333"/>
          <w:spacing w:val="0"/>
          <w:sz w:val="24"/>
          <w:szCs w:val="24"/>
        </w:rPr>
        <w:t>人民政府网</w:t>
      </w:r>
      <w:r>
        <w:rPr>
          <w:rFonts w:hint="eastAsia" w:asciiTheme="minorEastAsia" w:hAnsiTheme="minorEastAsia" w:eastAsiaTheme="minorEastAsia" w:cstheme="minorEastAsia"/>
          <w:i w:val="0"/>
          <w:caps w:val="0"/>
          <w:color w:val="333333"/>
          <w:spacing w:val="0"/>
          <w:sz w:val="24"/>
          <w:szCs w:val="24"/>
          <w:highlight w:val="none"/>
        </w:rPr>
        <w:t>站（</w:t>
      </w:r>
      <w:r>
        <w:rPr>
          <w:rFonts w:hint="eastAsia" w:asciiTheme="minorEastAsia" w:hAnsiTheme="minorEastAsia" w:eastAsiaTheme="minorEastAsia" w:cstheme="minorEastAsia"/>
          <w:i w:val="0"/>
          <w:caps w:val="0"/>
          <w:color w:val="333333"/>
          <w:spacing w:val="0"/>
          <w:sz w:val="24"/>
          <w:szCs w:val="24"/>
          <w:highlight w:val="none"/>
          <w:lang w:eastAsia="zh-CN"/>
        </w:rPr>
        <w:t>程龙镇</w:t>
      </w:r>
      <w:r>
        <w:rPr>
          <w:rFonts w:hint="eastAsia" w:asciiTheme="minorEastAsia" w:hAnsiTheme="minorEastAsia" w:eastAsiaTheme="minorEastAsia" w:cstheme="minorEastAsia"/>
          <w:i w:val="0"/>
          <w:caps w:val="0"/>
          <w:color w:val="333333"/>
          <w:spacing w:val="0"/>
          <w:sz w:val="24"/>
          <w:szCs w:val="24"/>
          <w:highlight w:val="none"/>
        </w:rPr>
        <w:t>）</w:t>
      </w:r>
      <w:r>
        <w:rPr>
          <w:rFonts w:hint="eastAsia" w:asciiTheme="minorEastAsia" w:hAnsiTheme="minorEastAsia" w:eastAsiaTheme="minorEastAsia" w:cstheme="minorEastAsia"/>
          <w:i w:val="0"/>
          <w:caps w:val="0"/>
          <w:color w:val="333333"/>
          <w:spacing w:val="0"/>
          <w:sz w:val="24"/>
          <w:szCs w:val="24"/>
        </w:rPr>
        <w:t>下载。如对本报告有任何疑问，请与</w:t>
      </w:r>
      <w:r>
        <w:rPr>
          <w:rFonts w:hint="eastAsia" w:asciiTheme="minorEastAsia" w:hAnsiTheme="minorEastAsia" w:eastAsiaTheme="minorEastAsia" w:cstheme="minorEastAsia"/>
          <w:i w:val="0"/>
          <w:caps w:val="0"/>
          <w:color w:val="333333"/>
          <w:spacing w:val="0"/>
          <w:sz w:val="24"/>
          <w:szCs w:val="24"/>
          <w:lang w:eastAsia="zh-CN"/>
        </w:rPr>
        <w:t>肖春娇</w:t>
      </w:r>
      <w:r>
        <w:rPr>
          <w:rFonts w:hint="eastAsia" w:asciiTheme="minorEastAsia" w:hAnsiTheme="minorEastAsia" w:eastAsiaTheme="minorEastAsia" w:cstheme="minorEastAsia"/>
          <w:i w:val="0"/>
          <w:caps w:val="0"/>
          <w:color w:val="333333"/>
          <w:spacing w:val="0"/>
          <w:sz w:val="24"/>
          <w:szCs w:val="24"/>
        </w:rPr>
        <w:t>联系（地址：</w:t>
      </w:r>
      <w:r>
        <w:rPr>
          <w:rFonts w:hint="eastAsia" w:asciiTheme="minorEastAsia" w:hAnsiTheme="minorEastAsia" w:eastAsiaTheme="minorEastAsia" w:cstheme="minorEastAsia"/>
          <w:i w:val="0"/>
          <w:caps w:val="0"/>
          <w:color w:val="333333"/>
          <w:spacing w:val="0"/>
          <w:sz w:val="24"/>
          <w:szCs w:val="24"/>
          <w:lang w:eastAsia="zh-CN"/>
        </w:rPr>
        <w:t>龙南市程龙镇圩镇</w:t>
      </w:r>
      <w:r>
        <w:rPr>
          <w:rFonts w:hint="eastAsia" w:asciiTheme="minorEastAsia" w:hAnsiTheme="minorEastAsia" w:eastAsiaTheme="minorEastAsia" w:cstheme="minorEastAsia"/>
          <w:i w:val="0"/>
          <w:caps w:val="0"/>
          <w:color w:val="333333"/>
          <w:spacing w:val="0"/>
          <w:sz w:val="24"/>
          <w:szCs w:val="24"/>
          <w:lang w:val="en-US" w:eastAsia="zh-CN"/>
        </w:rPr>
        <w:t>1号</w:t>
      </w:r>
      <w:r>
        <w:rPr>
          <w:rFonts w:hint="eastAsia" w:asciiTheme="minorEastAsia" w:hAnsiTheme="minorEastAsia" w:eastAsiaTheme="minorEastAsia" w:cstheme="minorEastAsia"/>
          <w:i w:val="0"/>
          <w:caps w:val="0"/>
          <w:color w:val="333333"/>
          <w:spacing w:val="0"/>
          <w:sz w:val="24"/>
          <w:szCs w:val="24"/>
        </w:rPr>
        <w:t>，电话：</w:t>
      </w:r>
      <w:r>
        <w:rPr>
          <w:rFonts w:hint="eastAsia" w:asciiTheme="minorEastAsia" w:hAnsiTheme="minorEastAsia" w:eastAsiaTheme="minorEastAsia" w:cstheme="minorEastAsia"/>
          <w:i w:val="0"/>
          <w:caps w:val="0"/>
          <w:color w:val="333333"/>
          <w:spacing w:val="0"/>
          <w:sz w:val="24"/>
          <w:szCs w:val="24"/>
          <w:lang w:val="en-US" w:eastAsia="zh-CN"/>
        </w:rPr>
        <w:t>0797-3533359</w:t>
      </w:r>
      <w:r>
        <w:rPr>
          <w:rFonts w:hint="eastAsia" w:asciiTheme="minorEastAsia" w:hAnsiTheme="minorEastAsia" w:eastAsiaTheme="minorEastAsia" w:cstheme="minorEastAsia"/>
          <w:i w:val="0"/>
          <w:caps w:val="0"/>
          <w:color w:val="333333"/>
          <w:spacing w:val="0"/>
          <w:sz w:val="24"/>
          <w:szCs w:val="24"/>
        </w:rPr>
        <w:t>，邮编：</w:t>
      </w:r>
      <w:r>
        <w:rPr>
          <w:rFonts w:hint="eastAsia" w:asciiTheme="minorEastAsia" w:hAnsiTheme="minorEastAsia" w:eastAsiaTheme="minorEastAsia" w:cstheme="minorEastAsia"/>
          <w:i w:val="0"/>
          <w:caps w:val="0"/>
          <w:color w:val="333333"/>
          <w:spacing w:val="0"/>
          <w:sz w:val="24"/>
          <w:szCs w:val="24"/>
          <w:lang w:val="en-US" w:eastAsia="zh-CN"/>
        </w:rPr>
        <w:t>341700</w:t>
      </w:r>
      <w:r>
        <w:rPr>
          <w:rFonts w:hint="eastAsia" w:asciiTheme="minorEastAsia" w:hAnsiTheme="minorEastAsia" w:eastAsiaTheme="minorEastAsia" w:cstheme="minorEastAsia"/>
          <w:i w:val="0"/>
          <w:caps w:val="0"/>
          <w:color w:val="333333"/>
          <w:spacing w:val="0"/>
          <w:sz w:val="24"/>
          <w:szCs w:val="24"/>
        </w:rPr>
        <w: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Theme="minorEastAsia" w:hAnsiTheme="minorEastAsia" w:eastAsiaTheme="minorEastAsia" w:cstheme="minorEastAsia"/>
          <w:b w:val="0"/>
          <w:bCs/>
          <w:i w:val="0"/>
          <w:caps w:val="0"/>
          <w:color w:val="333333"/>
          <w:spacing w:val="0"/>
          <w:sz w:val="24"/>
          <w:szCs w:val="24"/>
          <w:shd w:val="clear" w:fill="FFFFFF"/>
        </w:rPr>
      </w:pPr>
      <w:r>
        <w:rPr>
          <w:rFonts w:hint="eastAsia" w:asciiTheme="minorEastAsia" w:hAnsiTheme="minorEastAsia" w:eastAsiaTheme="minorEastAsia" w:cstheme="minorEastAsia"/>
          <w:b w:val="0"/>
          <w:bCs/>
          <w:i w:val="0"/>
          <w:caps w:val="0"/>
          <w:color w:val="333333"/>
          <w:spacing w:val="0"/>
          <w:sz w:val="24"/>
          <w:szCs w:val="24"/>
          <w:shd w:val="clear" w:fill="FFFFFF"/>
        </w:rPr>
        <w:t>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480" w:firstLineChars="200"/>
        <w:jc w:val="both"/>
        <w:textAlignment w:val="auto"/>
        <w:rPr>
          <w:rFonts w:hint="eastAsia" w:asciiTheme="minorEastAsia" w:hAnsiTheme="minorEastAsia" w:eastAsiaTheme="minorEastAsia" w:cstheme="minorEastAsia"/>
          <w:i w:val="0"/>
          <w:caps w:val="0"/>
          <w:color w:val="333333"/>
          <w:spacing w:val="0"/>
          <w:sz w:val="24"/>
          <w:szCs w:val="24"/>
          <w:shd w:val="clear" w:fill="FFFFFF"/>
          <w:lang w:val="en-US" w:eastAsia="zh-CN"/>
        </w:rPr>
      </w:pPr>
      <w:r>
        <w:rPr>
          <w:rFonts w:hint="eastAsia" w:asciiTheme="minorEastAsia" w:hAnsiTheme="minorEastAsia" w:eastAsiaTheme="minorEastAsia" w:cstheme="minorEastAsia"/>
          <w:i w:val="0"/>
          <w:caps w:val="0"/>
          <w:color w:val="333333"/>
          <w:spacing w:val="0"/>
          <w:sz w:val="24"/>
          <w:szCs w:val="24"/>
          <w:shd w:val="clear" w:fill="FFFFFF"/>
          <w:lang w:val="en-US" w:eastAsia="zh-CN"/>
        </w:rPr>
        <w:t>2020年程龙镇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紧紧围绕省委、省政府中心工作及社会群众关注关切，着力提升政府信息公开质量，推进拓宽政府信息公开渠道，不断增强政府信息公开实效。</w:t>
      </w:r>
    </w:p>
    <w:p>
      <w:pPr>
        <w:kinsoku/>
        <w:autoSpaceDE/>
        <w:autoSpaceDN w:val="0"/>
        <w:spacing w:line="560" w:lineRule="atLeast"/>
        <w:jc w:val="both"/>
        <w:rPr>
          <w:rFonts w:hint="eastAsia" w:asciiTheme="minorEastAsia" w:hAnsiTheme="minorEastAsia" w:eastAsiaTheme="minorEastAsia" w:cstheme="minorEastAsia"/>
          <w:snapToGrid/>
          <w:sz w:val="24"/>
          <w:szCs w:val="24"/>
          <w:highlight w:val="none"/>
        </w:rPr>
      </w:pPr>
      <w:r>
        <w:rPr>
          <w:rFonts w:hint="eastAsia" w:asciiTheme="minorEastAsia" w:hAnsiTheme="minorEastAsia" w:eastAsiaTheme="minorEastAsia" w:cstheme="minorEastAsia"/>
          <w:snapToGrid/>
          <w:sz w:val="24"/>
          <w:szCs w:val="24"/>
          <w:highlight w:val="none"/>
          <w:lang w:eastAsia="zh-CN"/>
        </w:rPr>
        <w:t xml:space="preserve">   </w:t>
      </w:r>
      <w:r>
        <w:rPr>
          <w:rFonts w:hint="eastAsia" w:asciiTheme="minorEastAsia" w:hAnsiTheme="minorEastAsia" w:eastAsiaTheme="minorEastAsia" w:cstheme="minorEastAsia"/>
          <w:b/>
          <w:snapToGrid/>
          <w:sz w:val="24"/>
          <w:szCs w:val="24"/>
          <w:highlight w:val="none"/>
          <w:lang w:eastAsia="zh-CN"/>
        </w:rPr>
        <w:t xml:space="preserve"> （一）强化组织领导，明确责任分工。</w:t>
      </w:r>
      <w:r>
        <w:rPr>
          <w:rFonts w:hint="eastAsia" w:asciiTheme="minorEastAsia" w:hAnsiTheme="minorEastAsia" w:eastAsiaTheme="minorEastAsia" w:cstheme="minorEastAsia"/>
          <w:snapToGrid/>
          <w:sz w:val="24"/>
          <w:szCs w:val="24"/>
          <w:highlight w:val="none"/>
          <w:lang w:eastAsia="zh-CN"/>
        </w:rPr>
        <w:t>我镇把政务公开工作纳入政府重要工作日程来抓，成立了以镇长任组长、分管领导任副组长、党政办、党建办人员任成员的领导小组，办公室设在党政办，明确信息员，建立起自上而下的政务公开工作组织体系，政务公开工作责任落实到人员。</w:t>
      </w:r>
    </w:p>
    <w:p>
      <w:pPr>
        <w:kinsoku/>
        <w:autoSpaceDE/>
        <w:autoSpaceDN w:val="0"/>
        <w:spacing w:line="560" w:lineRule="atLeast"/>
        <w:jc w:val="both"/>
        <w:rPr>
          <w:rFonts w:hint="eastAsia" w:asciiTheme="minorEastAsia" w:hAnsiTheme="minorEastAsia" w:eastAsiaTheme="minorEastAsia" w:cstheme="minorEastAsia"/>
          <w:snapToGrid/>
          <w:sz w:val="24"/>
          <w:szCs w:val="24"/>
          <w:highlight w:val="none"/>
        </w:rPr>
      </w:pPr>
      <w:r>
        <w:rPr>
          <w:rFonts w:hint="eastAsia" w:asciiTheme="minorEastAsia" w:hAnsiTheme="minorEastAsia" w:eastAsiaTheme="minorEastAsia" w:cstheme="minorEastAsia"/>
          <w:snapToGrid/>
          <w:sz w:val="24"/>
          <w:szCs w:val="24"/>
          <w:highlight w:val="none"/>
          <w:lang w:eastAsia="zh-CN"/>
        </w:rPr>
        <w:t xml:space="preserve">    </w:t>
      </w:r>
      <w:r>
        <w:rPr>
          <w:rFonts w:hint="eastAsia" w:asciiTheme="minorEastAsia" w:hAnsiTheme="minorEastAsia" w:eastAsiaTheme="minorEastAsia" w:cstheme="minorEastAsia"/>
          <w:b/>
          <w:snapToGrid/>
          <w:sz w:val="24"/>
          <w:szCs w:val="24"/>
          <w:highlight w:val="none"/>
          <w:lang w:eastAsia="zh-CN"/>
        </w:rPr>
        <w:t>（二）合理借用公开载体，畅通公开渠道。</w:t>
      </w:r>
      <w:r>
        <w:rPr>
          <w:rFonts w:hint="eastAsia" w:asciiTheme="minorEastAsia" w:hAnsiTheme="minorEastAsia" w:eastAsiaTheme="minorEastAsia" w:cstheme="minorEastAsia"/>
          <w:snapToGrid/>
          <w:sz w:val="24"/>
          <w:szCs w:val="24"/>
          <w:highlight w:val="none"/>
          <w:lang w:eastAsia="zh-CN"/>
        </w:rPr>
        <w:t>我镇充分利用政府门户网站做好信息公开，2</w:t>
      </w:r>
      <w:r>
        <w:rPr>
          <w:rFonts w:hint="eastAsia" w:asciiTheme="minorEastAsia" w:hAnsiTheme="minorEastAsia" w:eastAsiaTheme="minorEastAsia" w:cstheme="minorEastAsia"/>
          <w:snapToGrid/>
          <w:sz w:val="24"/>
          <w:szCs w:val="24"/>
          <w:highlight w:val="none"/>
          <w:lang w:val="en-US" w:eastAsia="zh-CN"/>
        </w:rPr>
        <w:t>020</w:t>
      </w:r>
      <w:r>
        <w:rPr>
          <w:rFonts w:hint="eastAsia" w:asciiTheme="minorEastAsia" w:hAnsiTheme="minorEastAsia" w:eastAsiaTheme="minorEastAsia" w:cstheme="minorEastAsia"/>
          <w:snapToGrid/>
          <w:sz w:val="24"/>
          <w:szCs w:val="24"/>
          <w:highlight w:val="none"/>
          <w:lang w:eastAsia="zh-CN"/>
        </w:rPr>
        <w:t>年度主动公开政府信息</w:t>
      </w:r>
      <w:r>
        <w:rPr>
          <w:rFonts w:hint="eastAsia" w:asciiTheme="minorEastAsia" w:hAnsiTheme="minorEastAsia" w:eastAsiaTheme="minorEastAsia" w:cstheme="minorEastAsia"/>
          <w:snapToGrid/>
          <w:sz w:val="24"/>
          <w:szCs w:val="24"/>
          <w:highlight w:val="none"/>
          <w:lang w:val="en-US" w:eastAsia="zh-CN"/>
        </w:rPr>
        <w:t>690</w:t>
      </w:r>
      <w:r>
        <w:rPr>
          <w:rFonts w:hint="eastAsia" w:asciiTheme="minorEastAsia" w:hAnsiTheme="minorEastAsia" w:eastAsiaTheme="minorEastAsia" w:cstheme="minorEastAsia"/>
          <w:snapToGrid/>
          <w:sz w:val="24"/>
          <w:szCs w:val="24"/>
          <w:highlight w:val="none"/>
          <w:lang w:eastAsia="zh-CN"/>
        </w:rPr>
        <w:t>条同时，充分利用网站、微信、LED大屏、信息公告栏、标语等公众熟悉的形式公开信息，方便群众知悉。</w:t>
      </w:r>
    </w:p>
    <w:p>
      <w:pPr>
        <w:kinsoku/>
        <w:autoSpaceDE/>
        <w:autoSpaceDN w:val="0"/>
        <w:spacing w:line="560" w:lineRule="atLeast"/>
        <w:jc w:val="both"/>
        <w:rPr>
          <w:rFonts w:hint="eastAsia" w:asciiTheme="minorEastAsia" w:hAnsiTheme="minorEastAsia" w:eastAsiaTheme="minorEastAsia" w:cstheme="minorEastAsia"/>
          <w:snapToGrid/>
          <w:sz w:val="24"/>
          <w:szCs w:val="24"/>
          <w:highlight w:val="none"/>
        </w:rPr>
      </w:pPr>
      <w:r>
        <w:rPr>
          <w:rFonts w:hint="eastAsia" w:asciiTheme="minorEastAsia" w:hAnsiTheme="minorEastAsia" w:eastAsiaTheme="minorEastAsia" w:cstheme="minorEastAsia"/>
          <w:snapToGrid/>
          <w:sz w:val="24"/>
          <w:szCs w:val="24"/>
          <w:highlight w:val="none"/>
          <w:lang w:eastAsia="zh-CN"/>
        </w:rPr>
        <w:t xml:space="preserve">  </w:t>
      </w:r>
      <w:r>
        <w:rPr>
          <w:rFonts w:hint="eastAsia" w:asciiTheme="minorEastAsia" w:hAnsiTheme="minorEastAsia" w:eastAsiaTheme="minorEastAsia" w:cstheme="minorEastAsia"/>
          <w:b/>
          <w:snapToGrid/>
          <w:sz w:val="24"/>
          <w:szCs w:val="24"/>
          <w:highlight w:val="none"/>
          <w:lang w:eastAsia="zh-CN"/>
        </w:rPr>
        <w:t xml:space="preserve">  （三）突出公开重点，规范公开内容。</w:t>
      </w:r>
      <w:r>
        <w:rPr>
          <w:rFonts w:hint="eastAsia" w:asciiTheme="minorEastAsia" w:hAnsiTheme="minorEastAsia" w:eastAsiaTheme="minorEastAsia" w:cstheme="minorEastAsia"/>
          <w:snapToGrid/>
          <w:sz w:val="24"/>
          <w:szCs w:val="24"/>
          <w:highlight w:val="none"/>
          <w:lang w:eastAsia="zh-CN"/>
        </w:rPr>
        <w:t>突出重点领域，狠抓疫情防控、粮食生产、安全生产、农村人居环境整治、精准扶贫、新农合、新农保、民政、计生服务等信息公开，让群众知悉政府当前的主要工作。突出“三务”公开，各行政村及时公开了计划生育、合作医疗、村级财务等方面信息，广泛接受群众监督。</w:t>
      </w:r>
    </w:p>
    <w:p>
      <w:pPr>
        <w:kinsoku/>
        <w:autoSpaceDE/>
        <w:autoSpaceDN w:val="0"/>
        <w:spacing w:line="560" w:lineRule="atLeast"/>
        <w:jc w:val="both"/>
        <w:rPr>
          <w:rFonts w:hint="eastAsia" w:asciiTheme="minorEastAsia" w:hAnsiTheme="minorEastAsia" w:eastAsiaTheme="minorEastAsia" w:cstheme="minorEastAsia"/>
          <w:b/>
          <w:i w:val="0"/>
          <w:caps w:val="0"/>
          <w:color w:val="333333"/>
          <w:spacing w:val="0"/>
          <w:sz w:val="24"/>
          <w:szCs w:val="24"/>
          <w:shd w:val="clear" w:fill="FFFFFF"/>
        </w:rPr>
      </w:pPr>
      <w:r>
        <w:rPr>
          <w:rFonts w:hint="eastAsia" w:asciiTheme="minorEastAsia" w:hAnsiTheme="minorEastAsia" w:eastAsiaTheme="minorEastAsia" w:cstheme="minorEastAsia"/>
          <w:snapToGrid/>
          <w:sz w:val="24"/>
          <w:szCs w:val="24"/>
          <w:highlight w:val="none"/>
          <w:lang w:eastAsia="zh-CN"/>
        </w:rPr>
        <w:t xml:space="preserve">    </w:t>
      </w:r>
      <w:r>
        <w:rPr>
          <w:rFonts w:hint="eastAsia" w:asciiTheme="minorEastAsia" w:hAnsiTheme="minorEastAsia" w:eastAsiaTheme="minorEastAsia" w:cstheme="minorEastAsia"/>
          <w:b/>
          <w:snapToGrid/>
          <w:sz w:val="24"/>
          <w:szCs w:val="24"/>
          <w:highlight w:val="none"/>
          <w:lang w:eastAsia="zh-CN"/>
        </w:rPr>
        <w:t>（四）加强公众参与，促进政民互动。</w:t>
      </w:r>
      <w:r>
        <w:rPr>
          <w:rFonts w:hint="eastAsia" w:asciiTheme="minorEastAsia" w:hAnsiTheme="minorEastAsia" w:eastAsiaTheme="minorEastAsia" w:cstheme="minorEastAsia"/>
          <w:snapToGrid/>
          <w:sz w:val="24"/>
          <w:szCs w:val="24"/>
          <w:highlight w:val="none"/>
          <w:lang w:eastAsia="zh-CN"/>
        </w:rPr>
        <w:t>镇政府通过宣传手册和致广大群众的一封信，使广大群众更加积极、主动参与到经济社会发展中来，建言献策、尽智出力。针对群众提出的意见我们及时公解决措施和进展情况。通过党务政务公示栏及时将节假日值班工作人员安排及信息公布出来，便于假期全镇居民的办事及咨询。</w:t>
      </w:r>
    </w:p>
    <w:p>
      <w:pPr>
        <w:numPr>
          <w:ilvl w:val="0"/>
          <w:numId w:val="0"/>
        </w:numPr>
        <w:spacing w:line="540" w:lineRule="exact"/>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eastAsia="zh-CN"/>
        </w:rPr>
        <w:t>二、</w:t>
      </w:r>
      <w:r>
        <w:rPr>
          <w:rFonts w:hint="eastAsia" w:asciiTheme="minorEastAsia" w:hAnsiTheme="minorEastAsia" w:eastAsiaTheme="minorEastAsia" w:cstheme="minorEastAsia"/>
          <w:b w:val="0"/>
          <w:bCs/>
          <w:sz w:val="24"/>
          <w:szCs w:val="24"/>
        </w:rPr>
        <w:t>主动公开政府信息情况</w:t>
      </w:r>
    </w:p>
    <w:tbl>
      <w:tblPr>
        <w:tblStyle w:val="3"/>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信息内容</w:t>
            </w:r>
          </w:p>
        </w:tc>
        <w:tc>
          <w:tcPr>
            <w:tcW w:w="2460"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本年新制作数量</w:t>
            </w:r>
          </w:p>
        </w:tc>
        <w:tc>
          <w:tcPr>
            <w:tcW w:w="2025"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本年新公开数量</w:t>
            </w:r>
          </w:p>
        </w:tc>
        <w:tc>
          <w:tcPr>
            <w:tcW w:w="2295"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line="46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规    章</w:t>
            </w:r>
          </w:p>
        </w:tc>
        <w:tc>
          <w:tcPr>
            <w:tcW w:w="2460"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0</w:t>
            </w:r>
          </w:p>
        </w:tc>
        <w:tc>
          <w:tcPr>
            <w:tcW w:w="2025"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0</w:t>
            </w:r>
          </w:p>
        </w:tc>
        <w:tc>
          <w:tcPr>
            <w:tcW w:w="2295"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规范性文件</w:t>
            </w:r>
          </w:p>
        </w:tc>
        <w:tc>
          <w:tcPr>
            <w:tcW w:w="2460"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0</w:t>
            </w:r>
          </w:p>
        </w:tc>
        <w:tc>
          <w:tcPr>
            <w:tcW w:w="2025"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0</w:t>
            </w:r>
          </w:p>
        </w:tc>
        <w:tc>
          <w:tcPr>
            <w:tcW w:w="2295"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信息内容</w:t>
            </w:r>
          </w:p>
        </w:tc>
        <w:tc>
          <w:tcPr>
            <w:tcW w:w="2460"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上一年项目数量</w:t>
            </w:r>
          </w:p>
        </w:tc>
        <w:tc>
          <w:tcPr>
            <w:tcW w:w="2025"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本年增/减</w:t>
            </w:r>
          </w:p>
        </w:tc>
        <w:tc>
          <w:tcPr>
            <w:tcW w:w="2295"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行政许可</w:t>
            </w:r>
          </w:p>
        </w:tc>
        <w:tc>
          <w:tcPr>
            <w:tcW w:w="2460"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0</w:t>
            </w:r>
          </w:p>
        </w:tc>
        <w:tc>
          <w:tcPr>
            <w:tcW w:w="2025"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p>
        </w:tc>
        <w:tc>
          <w:tcPr>
            <w:tcW w:w="2295"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其他对外管理服务事项</w:t>
            </w:r>
          </w:p>
        </w:tc>
        <w:tc>
          <w:tcPr>
            <w:tcW w:w="2460"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0</w:t>
            </w:r>
          </w:p>
        </w:tc>
        <w:tc>
          <w:tcPr>
            <w:tcW w:w="2025"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0</w:t>
            </w:r>
          </w:p>
        </w:tc>
        <w:tc>
          <w:tcPr>
            <w:tcW w:w="2295"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信息内容</w:t>
            </w:r>
          </w:p>
        </w:tc>
        <w:tc>
          <w:tcPr>
            <w:tcW w:w="2460"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上一年项目数量</w:t>
            </w:r>
          </w:p>
        </w:tc>
        <w:tc>
          <w:tcPr>
            <w:tcW w:w="2025"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本年增/减</w:t>
            </w:r>
          </w:p>
        </w:tc>
        <w:tc>
          <w:tcPr>
            <w:tcW w:w="2295"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w:t>
            </w:r>
          </w:p>
        </w:tc>
        <w:tc>
          <w:tcPr>
            <w:tcW w:w="2460"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0</w:t>
            </w:r>
          </w:p>
        </w:tc>
        <w:tc>
          <w:tcPr>
            <w:tcW w:w="2025"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22</w:t>
            </w:r>
          </w:p>
        </w:tc>
        <w:tc>
          <w:tcPr>
            <w:tcW w:w="2295"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行政强制</w:t>
            </w:r>
          </w:p>
        </w:tc>
        <w:tc>
          <w:tcPr>
            <w:tcW w:w="2460"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0</w:t>
            </w:r>
          </w:p>
        </w:tc>
        <w:tc>
          <w:tcPr>
            <w:tcW w:w="2025"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0</w:t>
            </w:r>
          </w:p>
        </w:tc>
        <w:tc>
          <w:tcPr>
            <w:tcW w:w="2295"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信息内容</w:t>
            </w:r>
          </w:p>
        </w:tc>
        <w:tc>
          <w:tcPr>
            <w:tcW w:w="2460"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上一年项目数量</w:t>
            </w:r>
          </w:p>
        </w:tc>
        <w:tc>
          <w:tcPr>
            <w:tcW w:w="4320" w:type="dxa"/>
            <w:gridSpan w:val="2"/>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行政事业性收费</w:t>
            </w:r>
          </w:p>
        </w:tc>
        <w:tc>
          <w:tcPr>
            <w:tcW w:w="2460"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0</w:t>
            </w:r>
          </w:p>
        </w:tc>
        <w:tc>
          <w:tcPr>
            <w:tcW w:w="4320" w:type="dxa"/>
            <w:gridSpan w:val="2"/>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信息内容</w:t>
            </w:r>
          </w:p>
        </w:tc>
        <w:tc>
          <w:tcPr>
            <w:tcW w:w="2460"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采购项目数量</w:t>
            </w:r>
          </w:p>
        </w:tc>
        <w:tc>
          <w:tcPr>
            <w:tcW w:w="4320" w:type="dxa"/>
            <w:gridSpan w:val="2"/>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政府集中采购</w:t>
            </w:r>
          </w:p>
        </w:tc>
        <w:tc>
          <w:tcPr>
            <w:tcW w:w="2460"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w:t>
            </w:r>
          </w:p>
        </w:tc>
        <w:tc>
          <w:tcPr>
            <w:tcW w:w="4320" w:type="dxa"/>
            <w:gridSpan w:val="2"/>
            <w:shd w:val="clear" w:color="auto" w:fill="auto"/>
          </w:tcPr>
          <w:p>
            <w:pPr>
              <w:spacing w:line="460" w:lineRule="exact"/>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307216</w:t>
            </w:r>
          </w:p>
        </w:tc>
      </w:tr>
    </w:tbl>
    <w:p>
      <w:pPr>
        <w:spacing w:line="540" w:lineRule="exact"/>
        <w:jc w:val="center"/>
        <w:rPr>
          <w:rFonts w:hint="eastAsia" w:asciiTheme="minorEastAsia" w:hAnsiTheme="minorEastAsia" w:eastAsiaTheme="minorEastAsia" w:cstheme="minorEastAsia"/>
          <w:b/>
          <w:sz w:val="24"/>
          <w:szCs w:val="24"/>
        </w:rPr>
      </w:pPr>
    </w:p>
    <w:p>
      <w:pPr>
        <w:numPr>
          <w:ilvl w:val="0"/>
          <w:numId w:val="1"/>
        </w:numPr>
        <w:spacing w:line="540" w:lineRule="exact"/>
        <w:ind w:left="0" w:leftChars="0" w:firstLine="420" w:firstLineChars="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收到和处理政府信息公开申请情况</w:t>
      </w:r>
    </w:p>
    <w:p>
      <w:pPr>
        <w:numPr>
          <w:ilvl w:val="0"/>
          <w:numId w:val="0"/>
        </w:numPr>
        <w:spacing w:line="540" w:lineRule="exact"/>
        <w:ind w:left="420" w:leftChars="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snapToGrid/>
          <w:sz w:val="24"/>
          <w:szCs w:val="24"/>
          <w:highlight w:val="none"/>
          <w:lang w:eastAsia="zh-CN"/>
        </w:rPr>
        <w:t>20</w:t>
      </w:r>
      <w:r>
        <w:rPr>
          <w:rFonts w:hint="eastAsia" w:asciiTheme="minorEastAsia" w:hAnsiTheme="minorEastAsia" w:eastAsiaTheme="minorEastAsia" w:cstheme="minorEastAsia"/>
          <w:snapToGrid/>
          <w:sz w:val="24"/>
          <w:szCs w:val="24"/>
          <w:highlight w:val="none"/>
          <w:lang w:val="en-US" w:eastAsia="zh-CN"/>
        </w:rPr>
        <w:t>20</w:t>
      </w:r>
      <w:r>
        <w:rPr>
          <w:rFonts w:hint="eastAsia" w:asciiTheme="minorEastAsia" w:hAnsiTheme="minorEastAsia" w:eastAsiaTheme="minorEastAsia" w:cstheme="minorEastAsia"/>
          <w:snapToGrid/>
          <w:sz w:val="24"/>
          <w:szCs w:val="24"/>
          <w:highlight w:val="none"/>
          <w:lang w:eastAsia="zh-CN"/>
        </w:rPr>
        <w:t>年，全镇共收到依申请公开0件，办结0件。</w:t>
      </w:r>
    </w:p>
    <w:tbl>
      <w:tblPr>
        <w:tblStyle w:val="3"/>
        <w:tblW w:w="9259"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850"/>
        <w:gridCol w:w="850"/>
        <w:gridCol w:w="2079"/>
        <w:gridCol w:w="810"/>
        <w:gridCol w:w="752"/>
        <w:gridCol w:w="752"/>
        <w:gridCol w:w="964"/>
        <w:gridCol w:w="900"/>
        <w:gridCol w:w="627"/>
        <w:gridCol w:w="67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4" w:hRule="atLeast"/>
          <w:jc w:val="center"/>
        </w:trPr>
        <w:tc>
          <w:tcPr>
            <w:tcW w:w="37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（本列数据的勾稽关系为：第一项加第二项之和，等于第三项加第四项之和）</w:t>
            </w:r>
          </w:p>
        </w:tc>
        <w:tc>
          <w:tcPr>
            <w:tcW w:w="548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37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81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自然人</w:t>
            </w:r>
          </w:p>
        </w:tc>
        <w:tc>
          <w:tcPr>
            <w:tcW w:w="399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法人或其他组织</w:t>
            </w:r>
          </w:p>
        </w:tc>
        <w:tc>
          <w:tcPr>
            <w:tcW w:w="67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3" w:hRule="atLeast"/>
          <w:jc w:val="center"/>
        </w:trPr>
        <w:tc>
          <w:tcPr>
            <w:tcW w:w="37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810" w:type="dxa"/>
            <w:vMerge w:val="continue"/>
            <w:tcBorders>
              <w:top w:val="nil"/>
              <w:left w:val="nil"/>
              <w:bottom w:val="single" w:color="auto" w:sz="8" w:space="0"/>
              <w:right w:val="single" w:color="auto" w:sz="8" w:space="0"/>
            </w:tcBorders>
            <w:vAlign w:val="center"/>
          </w:tcPr>
          <w:p>
            <w:pPr>
              <w:snapToGrid w:val="0"/>
              <w:spacing w:line="300" w:lineRule="exact"/>
              <w:jc w:val="left"/>
              <w:rPr>
                <w:rFonts w:hint="eastAsia" w:asciiTheme="minorEastAsia" w:hAnsiTheme="minorEastAsia" w:eastAsiaTheme="minorEastAsia" w:cstheme="minorEastAsia"/>
                <w:sz w:val="24"/>
                <w:szCs w:val="24"/>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商业企业</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科研机构</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社会公益组织</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法律服务机构</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其他</w:t>
            </w:r>
          </w:p>
        </w:tc>
        <w:tc>
          <w:tcPr>
            <w:tcW w:w="675" w:type="dxa"/>
            <w:vMerge w:val="continue"/>
            <w:tcBorders>
              <w:top w:val="single" w:color="auto" w:sz="8" w:space="0"/>
              <w:left w:val="nil"/>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4" w:hRule="atLeast"/>
          <w:jc w:val="center"/>
        </w:trPr>
        <w:tc>
          <w:tcPr>
            <w:tcW w:w="37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kern w:val="0"/>
                <w:sz w:val="24"/>
                <w:szCs w:val="24"/>
              </w:rPr>
              <w:t>一、本年新收政府信息公开申请数量</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6" w:hRule="atLeast"/>
          <w:jc w:val="center"/>
        </w:trPr>
        <w:tc>
          <w:tcPr>
            <w:tcW w:w="37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kern w:val="0"/>
                <w:sz w:val="24"/>
                <w:szCs w:val="24"/>
              </w:rPr>
              <w:t>二、上年结转政府信息公开申请数量</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4" w:hRule="atLeast"/>
          <w:jc w:val="center"/>
        </w:trPr>
        <w:tc>
          <w:tcPr>
            <w:tcW w:w="8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三、本年度办理结果</w:t>
            </w:r>
          </w:p>
        </w:tc>
        <w:tc>
          <w:tcPr>
            <w:tcW w:w="29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（一）予以公开</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29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pacing w:val="-2"/>
                <w:kern w:val="0"/>
                <w:sz w:val="24"/>
                <w:szCs w:val="24"/>
              </w:rPr>
              <w:t>二）部分公开（区分处理的，只计这一情形，不计其他情形）</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（三）不予公开</w:t>
            </w: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1.属于国家秘密</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2.其他法律行政法规禁止公开</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3.危及“三安全一稳定”</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4.保护第三方合法权益</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5.属于三类内部事务信息</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6.属于四类过程性信息</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kern w:val="0"/>
                <w:sz w:val="24"/>
                <w:szCs w:val="24"/>
              </w:rPr>
              <w:t>7.属于行政执法案卷</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kern w:val="0"/>
                <w:sz w:val="24"/>
                <w:szCs w:val="24"/>
              </w:rPr>
              <w:t>8.属于行政查询事项</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（四）无法提供</w:t>
            </w: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1.本机关不掌握相关政府信息</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2.没有现成信息需要另行制作</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3.补正后申请内容仍不明确</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（五）不予处理</w:t>
            </w: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1.信访举报投诉类申请</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2.重复申请</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3.要求提供公开出版物</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4.无正当理由大量反复申请</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5.要求行政机关确认或重新出具已获取信息</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292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（六）其他处理</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4"/>
                <w:szCs w:val="24"/>
              </w:rPr>
            </w:pPr>
          </w:p>
        </w:tc>
        <w:tc>
          <w:tcPr>
            <w:tcW w:w="29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（七）总计</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6" w:hRule="atLeast"/>
          <w:jc w:val="center"/>
        </w:trPr>
        <w:tc>
          <w:tcPr>
            <w:tcW w:w="377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四、结转下年度继续办理</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r>
    </w:tbl>
    <w:p>
      <w:pPr>
        <w:spacing w:line="540" w:lineRule="exact"/>
        <w:ind w:left="640"/>
        <w:rPr>
          <w:rFonts w:hint="eastAsia" w:asciiTheme="minorEastAsia" w:hAnsiTheme="minorEastAsia" w:eastAsiaTheme="minorEastAsia" w:cstheme="minorEastAsia"/>
          <w:sz w:val="24"/>
          <w:szCs w:val="24"/>
        </w:rPr>
      </w:pPr>
    </w:p>
    <w:p>
      <w:pPr>
        <w:numPr>
          <w:ilvl w:val="0"/>
          <w:numId w:val="2"/>
        </w:numPr>
        <w:spacing w:line="540" w:lineRule="exact"/>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政府信息公开行政复议、行政诉讼情况</w:t>
      </w:r>
    </w:p>
    <w:p>
      <w:pPr>
        <w:numPr>
          <w:ilvl w:val="0"/>
          <w:numId w:val="0"/>
        </w:numPr>
        <w:spacing w:line="540" w:lineRule="exact"/>
        <w:ind w:firstLine="240" w:firstLineChars="10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snapToGrid/>
          <w:sz w:val="24"/>
          <w:szCs w:val="24"/>
          <w:highlight w:val="none"/>
          <w:lang w:eastAsia="zh-CN"/>
        </w:rPr>
        <w:t>20</w:t>
      </w:r>
      <w:r>
        <w:rPr>
          <w:rFonts w:hint="eastAsia" w:asciiTheme="minorEastAsia" w:hAnsiTheme="minorEastAsia" w:eastAsiaTheme="minorEastAsia" w:cstheme="minorEastAsia"/>
          <w:snapToGrid/>
          <w:sz w:val="24"/>
          <w:szCs w:val="24"/>
          <w:highlight w:val="none"/>
          <w:lang w:val="en-US" w:eastAsia="zh-CN"/>
        </w:rPr>
        <w:t>20</w:t>
      </w:r>
      <w:r>
        <w:rPr>
          <w:rFonts w:hint="eastAsia" w:asciiTheme="minorEastAsia" w:hAnsiTheme="minorEastAsia" w:eastAsiaTheme="minorEastAsia" w:cstheme="minorEastAsia"/>
          <w:snapToGrid/>
          <w:sz w:val="24"/>
          <w:szCs w:val="24"/>
          <w:highlight w:val="none"/>
          <w:lang w:eastAsia="zh-CN"/>
        </w:rPr>
        <w:t>年，我镇未发生举报、投诉政府信息公开情况，未接到关于政府信息公开的行政复议、诉讼案件。</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行政复议</w:t>
            </w:r>
            <w:r>
              <w:rPr>
                <w:rFonts w:hint="eastAsia" w:asciiTheme="minorEastAsia" w:hAnsiTheme="minorEastAsia" w:eastAsiaTheme="minorEastAsia" w:cstheme="minorEastAsia"/>
                <w:sz w:val="24"/>
                <w:szCs w:val="24"/>
              </w:rPr>
              <w:br w:type="textWrapping"/>
            </w:r>
          </w:p>
        </w:tc>
        <w:tc>
          <w:tcPr>
            <w:tcW w:w="5680" w:type="dxa"/>
            <w:gridSpan w:val="10"/>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结果维护</w:t>
            </w:r>
          </w:p>
        </w:tc>
        <w:tc>
          <w:tcPr>
            <w:tcW w:w="568" w:type="dxa"/>
            <w:vMerge w:val="restart"/>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结果纠正</w:t>
            </w:r>
          </w:p>
        </w:tc>
        <w:tc>
          <w:tcPr>
            <w:tcW w:w="568" w:type="dxa"/>
            <w:vMerge w:val="restart"/>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其他结果</w:t>
            </w:r>
          </w:p>
        </w:tc>
        <w:tc>
          <w:tcPr>
            <w:tcW w:w="568" w:type="dxa"/>
            <w:vMerge w:val="restart"/>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尚未审结</w:t>
            </w:r>
          </w:p>
        </w:tc>
        <w:tc>
          <w:tcPr>
            <w:tcW w:w="568" w:type="dxa"/>
            <w:vMerge w:val="restart"/>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总计</w:t>
            </w:r>
          </w:p>
        </w:tc>
        <w:tc>
          <w:tcPr>
            <w:tcW w:w="2840" w:type="dxa"/>
            <w:gridSpan w:val="5"/>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shd w:val="clear" w:color="auto" w:fill="FFFFFF"/>
              </w:rPr>
              <w:t>未经复议直接起诉</w:t>
            </w:r>
          </w:p>
        </w:tc>
        <w:tc>
          <w:tcPr>
            <w:tcW w:w="2840" w:type="dxa"/>
            <w:gridSpan w:val="5"/>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p>
        </w:tc>
        <w:tc>
          <w:tcPr>
            <w:tcW w:w="568" w:type="dxa"/>
            <w:vMerge w:val="continue"/>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p>
        </w:tc>
        <w:tc>
          <w:tcPr>
            <w:tcW w:w="568" w:type="dxa"/>
            <w:vMerge w:val="continue"/>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p>
        </w:tc>
        <w:tc>
          <w:tcPr>
            <w:tcW w:w="568" w:type="dxa"/>
            <w:vMerge w:val="continue"/>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p>
        </w:tc>
        <w:tc>
          <w:tcPr>
            <w:tcW w:w="568" w:type="dxa"/>
            <w:vMerge w:val="continue"/>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p>
        </w:tc>
        <w:tc>
          <w:tcPr>
            <w:tcW w:w="568" w:type="dxa"/>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结果维护</w:t>
            </w:r>
          </w:p>
        </w:tc>
        <w:tc>
          <w:tcPr>
            <w:tcW w:w="568" w:type="dxa"/>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结果纠正</w:t>
            </w:r>
          </w:p>
        </w:tc>
        <w:tc>
          <w:tcPr>
            <w:tcW w:w="568" w:type="dxa"/>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其他结果</w:t>
            </w:r>
          </w:p>
        </w:tc>
        <w:tc>
          <w:tcPr>
            <w:tcW w:w="568" w:type="dxa"/>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尚未审结</w:t>
            </w:r>
          </w:p>
        </w:tc>
        <w:tc>
          <w:tcPr>
            <w:tcW w:w="568" w:type="dxa"/>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总计</w:t>
            </w:r>
          </w:p>
        </w:tc>
        <w:tc>
          <w:tcPr>
            <w:tcW w:w="568" w:type="dxa"/>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结果维护</w:t>
            </w:r>
          </w:p>
        </w:tc>
        <w:tc>
          <w:tcPr>
            <w:tcW w:w="568" w:type="dxa"/>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结果纠正</w:t>
            </w:r>
          </w:p>
        </w:tc>
        <w:tc>
          <w:tcPr>
            <w:tcW w:w="568" w:type="dxa"/>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其他结果</w:t>
            </w:r>
          </w:p>
        </w:tc>
        <w:tc>
          <w:tcPr>
            <w:tcW w:w="568" w:type="dxa"/>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尚未审结</w:t>
            </w:r>
          </w:p>
        </w:tc>
        <w:tc>
          <w:tcPr>
            <w:tcW w:w="568" w:type="dxa"/>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shd w:val="clear" w:color="auto" w:fill="auto"/>
          </w:tcPr>
          <w:p>
            <w:pPr>
              <w:spacing w:line="54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568" w:type="dxa"/>
            <w:shd w:val="clear" w:color="auto" w:fill="auto"/>
          </w:tcPr>
          <w:p>
            <w:pPr>
              <w:spacing w:line="54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568" w:type="dxa"/>
            <w:shd w:val="clear" w:color="auto" w:fill="auto"/>
          </w:tcPr>
          <w:p>
            <w:pPr>
              <w:spacing w:line="54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568" w:type="dxa"/>
            <w:shd w:val="clear" w:color="auto" w:fill="auto"/>
          </w:tcPr>
          <w:p>
            <w:pPr>
              <w:spacing w:line="54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568" w:type="dxa"/>
            <w:shd w:val="clear" w:color="auto" w:fill="auto"/>
          </w:tcPr>
          <w:p>
            <w:pPr>
              <w:spacing w:line="54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568" w:type="dxa"/>
            <w:shd w:val="clear" w:color="auto" w:fill="auto"/>
          </w:tcPr>
          <w:p>
            <w:pPr>
              <w:spacing w:line="54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568" w:type="dxa"/>
            <w:shd w:val="clear" w:color="auto" w:fill="auto"/>
          </w:tcPr>
          <w:p>
            <w:pPr>
              <w:spacing w:line="54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568" w:type="dxa"/>
            <w:shd w:val="clear" w:color="auto" w:fill="auto"/>
          </w:tcPr>
          <w:p>
            <w:pPr>
              <w:spacing w:line="54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568" w:type="dxa"/>
            <w:shd w:val="clear" w:color="auto" w:fill="auto"/>
          </w:tcPr>
          <w:p>
            <w:pPr>
              <w:spacing w:line="54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568" w:type="dxa"/>
            <w:shd w:val="clear" w:color="auto" w:fill="auto"/>
          </w:tcPr>
          <w:p>
            <w:pPr>
              <w:spacing w:line="54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568" w:type="dxa"/>
            <w:shd w:val="clear" w:color="auto" w:fill="auto"/>
          </w:tcPr>
          <w:p>
            <w:pPr>
              <w:spacing w:line="54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568" w:type="dxa"/>
            <w:shd w:val="clear" w:color="auto" w:fill="auto"/>
          </w:tcPr>
          <w:p>
            <w:pPr>
              <w:spacing w:line="54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568" w:type="dxa"/>
            <w:shd w:val="clear" w:color="auto" w:fill="auto"/>
          </w:tcPr>
          <w:p>
            <w:pPr>
              <w:spacing w:line="54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568" w:type="dxa"/>
            <w:shd w:val="clear" w:color="auto" w:fill="auto"/>
          </w:tcPr>
          <w:p>
            <w:pPr>
              <w:spacing w:line="54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568" w:type="dxa"/>
            <w:shd w:val="clear" w:color="auto" w:fill="auto"/>
          </w:tcPr>
          <w:p>
            <w:pPr>
              <w:spacing w:line="54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shd w:val="clear" w:fill="FFFFFF"/>
        </w:rPr>
        <w:t>五、存在的主要问题及改进情况</w:t>
      </w:r>
    </w:p>
    <w:p>
      <w:pPr>
        <w:kinsoku/>
        <w:autoSpaceDE/>
        <w:autoSpaceDN w:val="0"/>
        <w:spacing w:line="560" w:lineRule="atLeast"/>
        <w:jc w:val="both"/>
        <w:rPr>
          <w:rFonts w:hint="eastAsia" w:asciiTheme="minorEastAsia" w:hAnsiTheme="minorEastAsia" w:eastAsiaTheme="minorEastAsia" w:cstheme="minorEastAsia"/>
          <w:snapToGrid/>
          <w:sz w:val="24"/>
          <w:szCs w:val="24"/>
          <w:highlight w:val="none"/>
        </w:rPr>
      </w:pPr>
      <w:r>
        <w:rPr>
          <w:rFonts w:hint="eastAsia" w:asciiTheme="minorEastAsia" w:hAnsiTheme="minorEastAsia" w:eastAsiaTheme="minorEastAsia" w:cstheme="minorEastAsia"/>
          <w:snapToGrid/>
          <w:sz w:val="24"/>
          <w:szCs w:val="24"/>
          <w:highlight w:val="none"/>
          <w:lang w:eastAsia="zh-CN"/>
        </w:rPr>
        <w:t>20</w:t>
      </w:r>
      <w:r>
        <w:rPr>
          <w:rFonts w:hint="eastAsia" w:asciiTheme="minorEastAsia" w:hAnsiTheme="minorEastAsia" w:eastAsiaTheme="minorEastAsia" w:cstheme="minorEastAsia"/>
          <w:snapToGrid/>
          <w:sz w:val="24"/>
          <w:szCs w:val="24"/>
          <w:highlight w:val="none"/>
          <w:lang w:val="en-US" w:eastAsia="zh-CN"/>
        </w:rPr>
        <w:t>20</w:t>
      </w:r>
      <w:r>
        <w:rPr>
          <w:rFonts w:hint="eastAsia" w:asciiTheme="minorEastAsia" w:hAnsiTheme="minorEastAsia" w:eastAsiaTheme="minorEastAsia" w:cstheme="minorEastAsia"/>
          <w:snapToGrid/>
          <w:sz w:val="24"/>
          <w:szCs w:val="24"/>
          <w:highlight w:val="none"/>
          <w:lang w:eastAsia="zh-CN"/>
        </w:rPr>
        <w:t>年，我镇政府信息公开工作虽取得了一定的成绩，但也存在一些困难和问题，主要为：少数领导干部对政府信息公开重要性认识还不深，公开质量还不高，信息时效不强等。下一步，我镇将在以下几个方面加以改进和提高：</w:t>
      </w:r>
    </w:p>
    <w:p>
      <w:pPr>
        <w:kinsoku/>
        <w:autoSpaceDE/>
        <w:autoSpaceDN w:val="0"/>
        <w:spacing w:line="560" w:lineRule="atLeast"/>
        <w:jc w:val="both"/>
        <w:rPr>
          <w:rFonts w:hint="eastAsia" w:asciiTheme="minorEastAsia" w:hAnsiTheme="minorEastAsia" w:eastAsiaTheme="minorEastAsia" w:cstheme="minorEastAsia"/>
          <w:snapToGrid/>
          <w:sz w:val="24"/>
          <w:szCs w:val="24"/>
          <w:highlight w:val="none"/>
        </w:rPr>
      </w:pPr>
      <w:r>
        <w:rPr>
          <w:rFonts w:hint="eastAsia" w:asciiTheme="minorEastAsia" w:hAnsiTheme="minorEastAsia" w:eastAsiaTheme="minorEastAsia" w:cstheme="minorEastAsia"/>
          <w:snapToGrid/>
          <w:sz w:val="24"/>
          <w:szCs w:val="24"/>
          <w:highlight w:val="none"/>
          <w:lang w:eastAsia="zh-CN"/>
        </w:rPr>
        <w:t xml:space="preserve">    </w:t>
      </w:r>
      <w:r>
        <w:rPr>
          <w:rFonts w:hint="eastAsia" w:asciiTheme="minorEastAsia" w:hAnsiTheme="minorEastAsia" w:eastAsiaTheme="minorEastAsia" w:cstheme="minorEastAsia"/>
          <w:b/>
          <w:snapToGrid/>
          <w:sz w:val="24"/>
          <w:szCs w:val="24"/>
          <w:highlight w:val="none"/>
          <w:lang w:eastAsia="zh-CN"/>
        </w:rPr>
        <w:t>（一）进一步完善政府门户网站。</w:t>
      </w:r>
      <w:r>
        <w:rPr>
          <w:rFonts w:hint="eastAsia" w:asciiTheme="minorEastAsia" w:hAnsiTheme="minorEastAsia" w:eastAsiaTheme="minorEastAsia" w:cstheme="minorEastAsia"/>
          <w:snapToGrid/>
          <w:sz w:val="24"/>
          <w:szCs w:val="24"/>
          <w:highlight w:val="none"/>
          <w:lang w:eastAsia="zh-CN"/>
        </w:rPr>
        <w:t>通过政府门户网站及时公开信息；搭乘市政府网、龙南手机报、龙南发布、龙南TV等市级媒体的顺风车，实现网络信息公开平台共享，资源共享；充分运用户外公开栏、LED屏、农村广播等群众喜闻乐见的形式宣传政策法规、服务信息，让群众更方便获取信息；严格考核奖惩，责任到人，实现政府信息公开的常态化，建立起各负其责、运转协调的长效机制。</w:t>
      </w:r>
    </w:p>
    <w:p>
      <w:pPr>
        <w:kinsoku/>
        <w:autoSpaceDE/>
        <w:autoSpaceDN w:val="0"/>
        <w:spacing w:line="560" w:lineRule="atLeast"/>
        <w:jc w:val="both"/>
        <w:rPr>
          <w:rFonts w:hint="eastAsia" w:asciiTheme="minorEastAsia" w:hAnsiTheme="minorEastAsia" w:eastAsiaTheme="minorEastAsia" w:cstheme="minorEastAsia"/>
          <w:snapToGrid/>
          <w:sz w:val="24"/>
          <w:szCs w:val="24"/>
          <w:highlight w:val="none"/>
        </w:rPr>
      </w:pPr>
      <w:r>
        <w:rPr>
          <w:rFonts w:hint="eastAsia" w:asciiTheme="minorEastAsia" w:hAnsiTheme="minorEastAsia" w:eastAsiaTheme="minorEastAsia" w:cstheme="minorEastAsia"/>
          <w:snapToGrid/>
          <w:sz w:val="24"/>
          <w:szCs w:val="24"/>
          <w:highlight w:val="none"/>
          <w:lang w:eastAsia="zh-CN"/>
        </w:rPr>
        <w:t xml:space="preserve">    </w:t>
      </w:r>
      <w:r>
        <w:rPr>
          <w:rFonts w:hint="eastAsia" w:asciiTheme="minorEastAsia" w:hAnsiTheme="minorEastAsia" w:eastAsiaTheme="minorEastAsia" w:cstheme="minorEastAsia"/>
          <w:b/>
          <w:snapToGrid/>
          <w:sz w:val="24"/>
          <w:szCs w:val="24"/>
          <w:highlight w:val="none"/>
          <w:lang w:eastAsia="zh-CN"/>
        </w:rPr>
        <w:t>（二）进一步提高信息公开实效。</w:t>
      </w:r>
      <w:r>
        <w:rPr>
          <w:rFonts w:hint="eastAsia" w:asciiTheme="minorEastAsia" w:hAnsiTheme="minorEastAsia" w:eastAsiaTheme="minorEastAsia" w:cstheme="minorEastAsia"/>
          <w:snapToGrid/>
          <w:sz w:val="24"/>
          <w:szCs w:val="24"/>
          <w:highlight w:val="none"/>
          <w:lang w:eastAsia="zh-CN"/>
        </w:rPr>
        <w:t>紧紧围绕方便群众办事、规范行政行为、提高工作效能、打造阳光政府的目标，不断提高政府信息公开整体水平和效率；深入了解广大群众的呼声和要求，进一步依法推进社会关注度高、社会热点、重点领域的信息公开；开拓创新政民互动手段和途径，及时回应社会关切，提升政府有效处置社会舆情和突发事件的能力和水平。</w:t>
      </w:r>
    </w:p>
    <w:p>
      <w:pPr>
        <w:kinsoku/>
        <w:autoSpaceDE/>
        <w:autoSpaceDN w:val="0"/>
        <w:spacing w:line="560" w:lineRule="atLeast"/>
        <w:ind w:firstLine="645"/>
        <w:jc w:val="both"/>
        <w:rPr>
          <w:rFonts w:hint="eastAsia" w:asciiTheme="minorEastAsia" w:hAnsiTheme="minorEastAsia" w:eastAsiaTheme="minorEastAsia" w:cstheme="minorEastAsia"/>
          <w:snapToGrid/>
          <w:sz w:val="24"/>
          <w:szCs w:val="24"/>
          <w:highlight w:val="none"/>
        </w:rPr>
      </w:pPr>
      <w:r>
        <w:rPr>
          <w:rFonts w:hint="eastAsia" w:asciiTheme="minorEastAsia" w:hAnsiTheme="minorEastAsia" w:eastAsiaTheme="minorEastAsia" w:cstheme="minorEastAsia"/>
          <w:b/>
          <w:snapToGrid/>
          <w:sz w:val="24"/>
          <w:szCs w:val="24"/>
          <w:highlight w:val="none"/>
          <w:lang w:eastAsia="zh-CN"/>
        </w:rPr>
        <w:t>（三）进一步加强监督检查力度。</w:t>
      </w:r>
      <w:r>
        <w:rPr>
          <w:rFonts w:hint="eastAsia" w:asciiTheme="minorEastAsia" w:hAnsiTheme="minorEastAsia" w:eastAsiaTheme="minorEastAsia" w:cstheme="minorEastAsia"/>
          <w:snapToGrid/>
          <w:sz w:val="24"/>
          <w:szCs w:val="24"/>
          <w:highlight w:val="none"/>
          <w:lang w:eastAsia="zh-CN"/>
        </w:rPr>
        <w:t>坚持开展督办检查和每月一通报制度，发现问题及时督促整改。接受人大代表、政协委员、人民群众等社会各界的监督，确保政府信息公开及时、规范、真实、有效，全面提高政府信息公开工作的质量和水平。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i w:val="0"/>
          <w:caps w:val="0"/>
          <w:color w:val="333333"/>
          <w:spacing w:val="0"/>
          <w:sz w:val="24"/>
          <w:szCs w:val="24"/>
          <w:shd w:val="clear" w:fill="FFFFFF"/>
          <w:lang w:eastAsia="zh-CN"/>
        </w:rPr>
        <w:t>无其他需要报告的事项。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71D985"/>
    <w:multiLevelType w:val="singleLevel"/>
    <w:tmpl w:val="B771D985"/>
    <w:lvl w:ilvl="0" w:tentative="0">
      <w:start w:val="4"/>
      <w:numFmt w:val="chineseCounting"/>
      <w:suff w:val="nothing"/>
      <w:lvlText w:val="%1、"/>
      <w:lvlJc w:val="left"/>
      <w:rPr>
        <w:rFonts w:hint="eastAsia"/>
      </w:rPr>
    </w:lvl>
  </w:abstractNum>
  <w:abstractNum w:abstractNumId="1">
    <w:nsid w:val="E49DB681"/>
    <w:multiLevelType w:val="singleLevel"/>
    <w:tmpl w:val="E49DB68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2217B7"/>
    <w:rsid w:val="07221D0F"/>
    <w:rsid w:val="072F4BA5"/>
    <w:rsid w:val="0C120805"/>
    <w:rsid w:val="0C6C54EB"/>
    <w:rsid w:val="0F42566A"/>
    <w:rsid w:val="0FE32618"/>
    <w:rsid w:val="17534F7D"/>
    <w:rsid w:val="1ADA1C54"/>
    <w:rsid w:val="1B552680"/>
    <w:rsid w:val="1B931963"/>
    <w:rsid w:val="213A742D"/>
    <w:rsid w:val="23B06487"/>
    <w:rsid w:val="2480713E"/>
    <w:rsid w:val="2561424F"/>
    <w:rsid w:val="346C55B8"/>
    <w:rsid w:val="3E4D0B6D"/>
    <w:rsid w:val="44D258F3"/>
    <w:rsid w:val="519D4381"/>
    <w:rsid w:val="566E50F8"/>
    <w:rsid w:val="56857A37"/>
    <w:rsid w:val="5FCE6A83"/>
    <w:rsid w:val="6EAC0665"/>
    <w:rsid w:val="6EB526D3"/>
    <w:rsid w:val="6EC41F3F"/>
    <w:rsid w:val="7B440FF1"/>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肖春娇</cp:lastModifiedBy>
  <dcterms:modified xsi:type="dcterms:W3CDTF">2021-04-12T08:38:28Z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BCDAE3E9BCC34FC19877474D83F5BC90</vt:lpwstr>
  </property>
</Properties>
</file>