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baseline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42424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42424"/>
          <w:spacing w:val="0"/>
          <w:sz w:val="44"/>
          <w:szCs w:val="44"/>
          <w:shd w:val="clear" w:fill="FFFFFF"/>
        </w:rPr>
        <w:t>临塘乡202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42424"/>
          <w:spacing w:val="0"/>
          <w:sz w:val="44"/>
          <w:szCs w:val="44"/>
          <w:shd w:val="clear" w:fill="FFFFFF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42424"/>
          <w:spacing w:val="0"/>
          <w:sz w:val="44"/>
          <w:szCs w:val="44"/>
          <w:shd w:val="clear" w:fill="FFFFFF"/>
        </w:rPr>
        <w:t>年政府信息公开工作年度报告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baseline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42424"/>
          <w:spacing w:val="0"/>
          <w:sz w:val="44"/>
          <w:szCs w:val="44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fill="FFFFFF"/>
          <w:vertAlign w:val="baseline"/>
        </w:rPr>
        <w:t>根据《中华人民共和国政府信息公开条例》（以下简称《条例》）和有关政府信息公开的要求，特向社会公开我乡政府信息公开年度工作报告。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全文包括总体情况、主动公开政府信息情况、收到和处理政府信息公开申请情况、政府信息公开行政复议行政诉讼情况、存在的主要问题及改进情况、其他需要报告的事项。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fill="FFFFFF"/>
          <w:vertAlign w:val="baseline"/>
        </w:rPr>
        <w:t>本年度报告中所列数据的统计期限自2021年1月1日起至2021年12月31日止。如对本报告有任何疑问请与临塘乡政府联系。（地址：龙南市临塘乡人民政府；邮编：341708；电话：0797—3583166；传真：0797—3584110；电子邮箱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vertAlign w:val="baseline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vertAlign w:val="baseline"/>
        </w:rPr>
        <w:instrText xml:space="preserve"> HYPERLINK "http://xxgk.jxln.gov.cn/bmgkxx/ltx/ndbg/201904/mailto:lnltxzf2008@126.com"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vertAlign w:val="baseline"/>
        </w:rPr>
        <w:fldChar w:fldCharType="separate"/>
      </w:r>
      <w:r>
        <w:rPr>
          <w:rStyle w:val="5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single"/>
          <w:shd w:val="clear" w:fill="FFFFFF"/>
          <w:vertAlign w:val="baseline"/>
        </w:rPr>
        <w:t>lnltxzf2008@126.com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u w:val="none"/>
          <w:shd w:val="clear" w:fill="FFFFFF"/>
          <w:vertAlign w:val="baseline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fill="FFFFFF"/>
          <w:vertAlign w:val="baseline"/>
        </w:rPr>
        <w:t>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fill="FFFFFF"/>
          <w:vertAlign w:val="baseline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fill="FFFFFF"/>
          <w:vertAlign w:val="baseline"/>
        </w:rPr>
        <w:t>工作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fill="FFFFFF"/>
          <w:vertAlign w:val="baseline"/>
          <w:lang w:eastAsia="zh-CN"/>
        </w:rPr>
        <w:t>总体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fill="FFFFFF"/>
          <w:vertAlign w:val="baseline"/>
        </w:rPr>
        <w:t>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fill="FFFFFF"/>
          <w:vertAlign w:val="baseli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fill="FFFFFF"/>
          <w:vertAlign w:val="baseline"/>
        </w:rPr>
        <w:t>2021年，临塘乡政府信息公开工作坚持以科学发展观为指导，认真贯彻落实《条例》和乡党委、政府的要求，以“公开、透明、规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fill="FFFFFF"/>
          <w:vertAlign w:val="baseline"/>
        </w:rPr>
        <w:t>范、廉洁、高效”为目标，以群众满意为最基本要求，健全机制，拓宽渠道，着力构建程序规范、运转协调、公开透明、便捷高效的政务公开长效机制，有效推动全乡整体工作提高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fill="FFFFFF"/>
          <w:vertAlign w:val="baseline"/>
          <w:lang w:eastAsia="zh-CN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主动公开信息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  <w:lang w:val="en-US" w:eastAsia="zh-CN"/>
        </w:rPr>
        <w:t>813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条。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fill="FFFFFF"/>
          <w:vertAlign w:val="baseline"/>
        </w:rPr>
        <w:t>具体做法如下：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fill="FFFFFF"/>
          <w:vertAlign w:val="baseline"/>
        </w:rPr>
      </w:pPr>
      <w:r>
        <w:rPr>
          <w:rFonts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(一)主动公开政府信息情况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baseline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  <w:lang w:val="en-US" w:eastAsia="zh-CN"/>
        </w:rPr>
        <w:t>1.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信息公开指南：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为更好地提供政府信息公开服务，方便公民、法人和其他组织获得政府信息，规范政府信息公开工作，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  <w:lang w:eastAsia="zh-CN"/>
        </w:rPr>
        <w:t>我乡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于2021年5月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  <w:lang w:val="en-US" w:eastAsia="zh-CN"/>
        </w:rPr>
        <w:t>12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日编制《龙南市临塘乡人民政府信息公开指南》，载明了主动公开信息的范围、分类、编排体系、公开渠道，依申请公开信息的申请方式、收费标准，监督方式及工作机构情况等。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505050"/>
          <w:spacing w:val="0"/>
          <w:sz w:val="18"/>
          <w:szCs w:val="18"/>
          <w:u w:val="none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2.概况信息：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换届后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  <w:lang w:eastAsia="zh-CN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及时更新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  <w:lang w:eastAsia="zh-CN"/>
        </w:rPr>
        <w:t>乡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部门简介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  <w:lang w:eastAsia="zh-CN"/>
        </w:rPr>
        <w:t>及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调整新上任领导班子成员信息，便于群众了解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  <w:lang w:eastAsia="zh-CN"/>
        </w:rPr>
        <w:t>我乡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组织机构职能及人员构成。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505050"/>
          <w:spacing w:val="0"/>
          <w:sz w:val="18"/>
          <w:szCs w:val="18"/>
          <w:u w:val="none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3.规范性文件：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2021年我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  <w:lang w:eastAsia="zh-CN"/>
        </w:rPr>
        <w:t>乡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主动公开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  <w:lang w:eastAsia="zh-CN"/>
        </w:rPr>
        <w:t>政策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文件信息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  <w:lang w:val="en-US" w:eastAsia="zh-CN"/>
        </w:rPr>
        <w:t>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条，同步上传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  <w:lang w:eastAsia="zh-CN"/>
        </w:rPr>
        <w:t>政策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解读信息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  <w:lang w:val="en-US" w:eastAsia="zh-CN"/>
        </w:rPr>
        <w:t>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505050"/>
          <w:spacing w:val="0"/>
          <w:sz w:val="18"/>
          <w:szCs w:val="18"/>
          <w:u w:val="none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4.发展规划：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公开《临塘乡示范乡镇建设方案》及《临塘乡基层党建进展情况汇报》；工作计划方面，公开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  <w:lang w:eastAsia="zh-CN"/>
        </w:rPr>
        <w:t>我乡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2021年上半年及全年工作总结及工作计划。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baseline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5.工作动态：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  <w:lang w:eastAsia="zh-CN"/>
        </w:rPr>
        <w:t>我乡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主动公开政务动态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  <w:lang w:eastAsia="zh-CN"/>
        </w:rPr>
        <w:t>共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  <w:lang w:val="en-US" w:eastAsia="zh-CN"/>
        </w:rPr>
        <w:t>730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条（其中包括公告公示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  <w:lang w:val="en-US" w:eastAsia="zh-CN"/>
        </w:rPr>
        <w:t>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条，人事信息3条，财经信息1条，监督保障1条，回应关切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  <w:lang w:val="en-US" w:eastAsia="zh-CN"/>
        </w:rPr>
        <w:t>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条），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  <w:lang w:eastAsia="zh-CN"/>
        </w:rPr>
        <w:t>并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在龙南市人民政府网站上上传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  <w:lang w:eastAsia="zh-CN"/>
        </w:rPr>
        <w:t>单位工作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动态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  <w:lang w:val="en-US" w:eastAsia="zh-CN"/>
        </w:rPr>
        <w:t>32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条。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505050"/>
          <w:spacing w:val="0"/>
          <w:sz w:val="18"/>
          <w:szCs w:val="18"/>
          <w:u w:val="none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（二）依申请公开信息情况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baseline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  <w:lang w:eastAsia="zh-CN"/>
        </w:rPr>
        <w:t>我乡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高度重视依申请公开工作，在政府门户网站公布依申请公开指南和渠道，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  <w:lang w:val="en-US" w:eastAsia="zh-CN"/>
        </w:rPr>
        <w:t>2021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年共收到群众依申请公开事项0件。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505050"/>
          <w:spacing w:val="0"/>
          <w:sz w:val="18"/>
          <w:szCs w:val="18"/>
          <w:u w:val="none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（三）政府信息管理情况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baseline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一是加强组织领导。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临塘乡成立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  <w:lang w:eastAsia="zh-CN"/>
        </w:rPr>
        <w:t>政府信息公开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工作小组，统一负责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  <w:lang w:eastAsia="zh-CN"/>
        </w:rPr>
        <w:t>我乡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信息公开工作的组织和实施，做好牵头协调工作。做到了领导、机构、人员“三到位”。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  <w:lang w:eastAsia="zh-CN"/>
        </w:rPr>
        <w:t>并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设置专门人员负责政务公开的具体事务，为政府信息公开提供了强有力的组织保障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  <w:lang w:eastAsia="zh-CN"/>
        </w:rPr>
        <w:t>。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  <w:lang w:eastAsia="zh-CN"/>
        </w:rPr>
        <w:t>二是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规范信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  <w:lang w:eastAsia="zh-CN"/>
        </w:rPr>
        <w:t>息审核发布机制。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加强内容保障，凡是通过门户网站集中发布的相关信息必须按照规定的格式、方式、发布时限做好原创性信息的编制工作，切实提高信息质量。严格审批程序，严格落实网站上传内容由单位分管领导审核、主要领导签发的签批制度，切实保障门户网站内容安全，并做好个人隐私信息保护工作。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三是加强量化管理。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  <w:lang w:eastAsia="zh-CN"/>
        </w:rPr>
        <w:t>我乡要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  <w:lang w:eastAsia="zh-CN"/>
        </w:rPr>
        <w:t>单位每名年轻干部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每月完成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  <w:lang w:val="en-US" w:eastAsia="zh-CN"/>
        </w:rPr>
        <w:t>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条信息公开任务,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  <w:lang w:eastAsia="zh-CN"/>
        </w:rPr>
        <w:t>并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将政府信息公开工作纳入年度工作计划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  <w:lang w:eastAsia="zh-CN"/>
        </w:rPr>
        <w:t>及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考核,每月进行任务完成情况通报。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/>
        <w:jc w:val="both"/>
        <w:textAlignment w:val="baseline"/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政府信息公开平台建设情况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baseline"/>
        <w:rPr>
          <w:rFonts w:hint="eastAsia" w:ascii="仿宋_GB2312" w:hAnsi="宋体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fill="FFFFFF"/>
          <w:vertAlign w:val="baseline"/>
        </w:rPr>
      </w:pP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fill="FFFFFF"/>
          <w:vertAlign w:val="baseline"/>
          <w:lang w:val="en-US" w:eastAsia="zh-CN"/>
        </w:rPr>
        <w:t>1.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fill="FFFFFF"/>
          <w:vertAlign w:val="baseline"/>
        </w:rPr>
        <w:t>政府网站。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fill="FFFFFF"/>
          <w:vertAlign w:val="baseline"/>
        </w:rPr>
        <w:t>公民、法人及其他组织可通过龙南市人民政府门户网站市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fill="FFFFFF"/>
          <w:vertAlign w:val="baseline"/>
          <w:lang w:eastAsia="zh-CN"/>
        </w:rPr>
        <w:t>临塘乡人民政府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fill="FFFFFF"/>
          <w:vertAlign w:val="baseline"/>
        </w:rPr>
        <w:t>专栏查阅到我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fill="FFFFFF"/>
          <w:vertAlign w:val="baseline"/>
          <w:lang w:eastAsia="zh-CN"/>
        </w:rPr>
        <w:t>乡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fill="FFFFFF"/>
          <w:vertAlign w:val="baseline"/>
        </w:rPr>
        <w:t>主动公开的政府信息。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fill="FFFFFF"/>
          <w:vertAlign w:val="baseline"/>
          <w:lang w:val="en-US" w:eastAsia="zh-CN"/>
        </w:rPr>
        <w:t>2.政务新媒体。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fill="FFFFFF"/>
          <w:vertAlign w:val="baseline"/>
        </w:rPr>
        <w:t>发挥政务新媒体公开多样化作用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fill="FFFFFF"/>
          <w:vertAlign w:val="baseline"/>
          <w:lang w:eastAsia="zh-CN"/>
        </w:rPr>
        <w:t>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fill="FFFFFF"/>
          <w:vertAlign w:val="baseline"/>
        </w:rPr>
        <w:t>对开设的“临塘发布”微信公众号明确专人负责，做到了内容有保障、安全有防护。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fill="FFFFFF"/>
          <w:vertAlign w:val="baseline"/>
          <w:lang w:val="en-US" w:eastAsia="zh-CN"/>
        </w:rPr>
        <w:t>2021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fill="FFFFFF"/>
          <w:vertAlign w:val="baseline"/>
        </w:rPr>
        <w:t>年“临塘发布”公众号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fill="FFFFFF"/>
          <w:vertAlign w:val="baseline"/>
          <w:lang w:eastAsia="zh-CN"/>
        </w:rPr>
        <w:t>共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fill="FFFFFF"/>
          <w:vertAlign w:val="baseline"/>
        </w:rPr>
        <w:t>发布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fill="FFFFFF"/>
          <w:vertAlign w:val="baseline"/>
          <w:lang w:val="en-US" w:eastAsia="zh-CN"/>
        </w:rPr>
        <w:t>109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fill="FFFFFF"/>
          <w:vertAlign w:val="baseline"/>
        </w:rPr>
        <w:t>篇文章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fill="FFFFFF"/>
          <w:vertAlign w:val="baseline"/>
          <w:lang w:eastAsia="zh-CN"/>
        </w:rPr>
        <w:t>，均篇阅读量为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fill="FFFFFF"/>
          <w:vertAlign w:val="baseline"/>
          <w:lang w:val="en-US" w:eastAsia="zh-CN"/>
        </w:rPr>
        <w:t>1000以上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fill="FFFFFF"/>
          <w:vertAlign w:val="baseline"/>
        </w:rPr>
        <w:t>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43" w:leftChars="0" w:right="0" w:rightChars="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505050"/>
          <w:spacing w:val="0"/>
          <w:sz w:val="18"/>
          <w:szCs w:val="18"/>
          <w:u w:val="none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（五）监督保障情况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baseline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我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  <w:lang w:eastAsia="zh-CN"/>
        </w:rPr>
        <w:t>乡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严格按照信息公开的工作要求,执行先审核后发布的规定。需发布的信息须经分管领导审核后,才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  <w:lang w:eastAsia="zh-CN"/>
        </w:rPr>
        <w:t>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发布。针对错敏字问题，安排专人进行整改，确保第一时间整改到位。截至目前，我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  <w:lang w:eastAsia="zh-CN"/>
        </w:rPr>
        <w:t>乡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未接到公民、法人和其他组织对有关政府信息公开工作的举报、投诉、行政复议或者行政诉讼。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Autospacing="0" w:line="560" w:lineRule="exact"/>
        <w:ind w:left="0" w:right="0" w:firstLine="640"/>
        <w:jc w:val="both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505050"/>
          <w:spacing w:val="0"/>
          <w:sz w:val="32"/>
          <w:szCs w:val="32"/>
          <w:u w:val="none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二、主动公开政府信息情况</w:t>
      </w:r>
    </w:p>
    <w:tbl>
      <w:tblPr>
        <w:tblStyle w:val="3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11"/>
        <w:gridCol w:w="2211"/>
        <w:gridCol w:w="2211"/>
        <w:gridCol w:w="221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ascii="Calibri" w:hAnsi="Calibri" w:cs="Calibri" w:eastAsiaTheme="minorEastAsia"/>
                <w:i w:val="0"/>
                <w:iCs w:val="0"/>
                <w:color w:val="50505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50505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rFonts w:hint="default"/>
                <w:i w:val="0"/>
                <w:iCs w:val="0"/>
                <w:color w:val="50505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rFonts w:hint="default"/>
                <w:i w:val="0"/>
                <w:iCs w:val="0"/>
                <w:color w:val="505050"/>
                <w:u w:val="none"/>
                <w:lang w:val="en-US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 </w:t>
            </w:r>
            <w:r>
              <w:rPr>
                <w:rFonts w:hint="eastAsia" w:ascii="Calibri" w:hAnsi="Calibri" w:cs="Calibri"/>
                <w:i w:val="0"/>
                <w:iCs w:val="0"/>
                <w:color w:val="50505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 xml:space="preserve"> 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 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505050"/>
                <w:kern w:val="0"/>
                <w:sz w:val="21"/>
                <w:szCs w:val="21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baseline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505050"/>
          <w:spacing w:val="0"/>
          <w:sz w:val="32"/>
          <w:szCs w:val="32"/>
          <w:u w:val="none"/>
        </w:rPr>
      </w:pPr>
      <w:r>
        <w:rPr>
          <w:rFonts w:hint="eastAsia" w:ascii="黑体" w:hAnsi="宋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三、收到和处理政府信息公开申请情况</w:t>
      </w: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0"/>
        <w:gridCol w:w="910"/>
        <w:gridCol w:w="2824"/>
        <w:gridCol w:w="633"/>
        <w:gridCol w:w="633"/>
        <w:gridCol w:w="633"/>
        <w:gridCol w:w="633"/>
        <w:gridCol w:w="633"/>
        <w:gridCol w:w="634"/>
        <w:gridCol w:w="63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6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法人或其他组织</w:t>
            </w:r>
          </w:p>
        </w:tc>
        <w:tc>
          <w:tcPr>
            <w:tcW w:w="688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其他</w:t>
            </w:r>
          </w:p>
        </w:tc>
        <w:tc>
          <w:tcPr>
            <w:tcW w:w="688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三、本年度办理结果</w:t>
            </w: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（三）不予公开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（四）无法提供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（五）不予处理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both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（六）其他处理</w:t>
            </w: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both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both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32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416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eastAsia="宋体" w:cs="Calibri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left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default" w:ascii="Calibri" w:hAnsi="Calibri" w:cs="Calibri" w:eastAsiaTheme="minorEastAsia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 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baseline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505050"/>
          <w:spacing w:val="0"/>
          <w:sz w:val="32"/>
          <w:szCs w:val="32"/>
          <w:u w:val="none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四、政府信息公开行政复议、行政诉讼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  <w:lang w:eastAsia="zh-CN"/>
        </w:rPr>
        <w:t>情况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vertAlign w:val="baseline"/>
          <w:lang w:val="en-US" w:eastAsia="zh-CN" w:bidi="ar"/>
        </w:rPr>
        <w:t> </w:t>
      </w:r>
    </w:p>
    <w:tbl>
      <w:tblPr>
        <w:tblStyle w:val="3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96"/>
        <w:gridCol w:w="596"/>
        <w:gridCol w:w="596"/>
        <w:gridCol w:w="596"/>
        <w:gridCol w:w="596"/>
        <w:gridCol w:w="596"/>
        <w:gridCol w:w="596"/>
        <w:gridCol w:w="597"/>
        <w:gridCol w:w="597"/>
        <w:gridCol w:w="597"/>
        <w:gridCol w:w="597"/>
        <w:gridCol w:w="597"/>
        <w:gridCol w:w="597"/>
        <w:gridCol w:w="597"/>
        <w:gridCol w:w="59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rPr>
                <w:rFonts w:hint="eastAsia" w:ascii="宋体"/>
                <w:sz w:val="24"/>
                <w:szCs w:val="24"/>
                <w:vertAlign w:val="baseline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505050"/>
                <w:kern w:val="0"/>
                <w:sz w:val="20"/>
                <w:szCs w:val="20"/>
                <w:u w:val="none"/>
                <w:vertAlign w:val="baseline"/>
                <w:lang w:val="en-US" w:eastAsia="zh-CN" w:bidi="ar"/>
              </w:rPr>
              <w:t>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225" w:beforeAutospacing="0" w:after="0" w:afterAutospacing="0" w:line="560" w:lineRule="exact"/>
              <w:ind w:left="0" w:right="0" w:firstLine="0"/>
              <w:jc w:val="center"/>
              <w:textAlignment w:val="baseline"/>
              <w:rPr>
                <w:i w:val="0"/>
                <w:iCs w:val="0"/>
                <w:color w:val="50505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505050"/>
                <w:kern w:val="0"/>
                <w:sz w:val="24"/>
                <w:szCs w:val="24"/>
                <w:u w:val="none"/>
                <w:vertAlign w:val="baseline"/>
                <w:lang w:val="en-US" w:eastAsia="zh-CN" w:bidi="ar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baseline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505050"/>
          <w:spacing w:val="0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fill="FFFFFF"/>
          <w:vertAlign w:val="baseline"/>
          <w:lang w:eastAsia="zh-CN"/>
        </w:rPr>
        <w:t>五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fill="FFFFFF"/>
          <w:vertAlign w:val="baseline"/>
        </w:rPr>
        <w:t>、存在的主要问题及改进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fill="FFFFFF"/>
          <w:vertAlign w:val="baseline"/>
          <w:lang w:eastAsia="zh-CN"/>
        </w:rPr>
        <w:t>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fill="FFFFFF"/>
          <w:vertAlign w:val="baseline"/>
        </w:rPr>
        <w:t>(一)目前存在问题和不足。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fill="FFFFFF"/>
          <w:vertAlign w:val="baseline"/>
        </w:rPr>
        <w:t>虽然我乡在信息公开工作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fill="FFFFFF"/>
          <w:vertAlign w:val="baseline"/>
          <w:lang w:eastAsia="zh-CN"/>
        </w:rPr>
        <w:t>上取得了一些进展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fill="FFFFFF"/>
          <w:vertAlign w:val="baseline"/>
        </w:rPr>
        <w:t>，公开执行情况有了较大改善，但仍然存在许多不足之处，主要表现在：一是政府信息公开工作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fill="FFFFFF"/>
          <w:vertAlign w:val="baseline"/>
          <w:lang w:eastAsia="zh-CN"/>
        </w:rPr>
        <w:t>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fill="FFFFFF"/>
          <w:vertAlign w:val="baseline"/>
        </w:rPr>
        <w:t>规范性有待进一步加强;二是部分信息未按照规定的时间节点进行公开，缺乏时效性；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fill="FFFFFF"/>
          <w:vertAlign w:val="baseline"/>
          <w:lang w:eastAsia="zh-CN"/>
        </w:rPr>
        <w:t>三是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fill="FFFFFF"/>
          <w:vertAlign w:val="baseline"/>
        </w:rPr>
        <w:t>信息数量、质量亟待提升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fill="FFFFFF"/>
          <w:vertAlign w:val="baselin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fill="FFFFFF"/>
          <w:vertAlign w:val="baseli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fill="FFFFFF"/>
          <w:vertAlign w:val="baseline"/>
        </w:rPr>
        <w:t>(二)改进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fill="FFFFFF"/>
          <w:vertAlign w:val="baseline"/>
          <w:lang w:eastAsia="zh-CN"/>
        </w:rPr>
        <w:t>情况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fill="FFFFFF"/>
          <w:vertAlign w:val="baseline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fill="FFFFFF"/>
          <w:vertAlign w:val="baseli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fill="FFFFFF"/>
          <w:vertAlign w:val="baseline"/>
          <w:lang w:eastAsia="zh-CN"/>
        </w:rPr>
        <w:t>.加大政府信息采集和发布力度，提高信息质量，丰富公开内容。广泛听取群众的意见和建议，重点公开人民群众普遍关心的热点、焦点问题。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baseline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fill="FFFFFF"/>
          <w:vertAlign w:val="baseline"/>
          <w:lang w:val="en-US" w:eastAsia="zh-CN"/>
        </w:rPr>
        <w:t>2.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u w:val="none"/>
          <w:shd w:val="clear" w:fill="FFFFFF"/>
          <w:vertAlign w:val="baseline"/>
        </w:rPr>
        <w:t>完善制度机制，规范信息公开的程序，明确时间节点，将信息公开工作纳入干部日常考核机制，确保信息公开的及时性和全面性。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fill="FFFFFF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fill="FFFFFF"/>
          <w:vertAlign w:val="baseline"/>
          <w:lang w:val="en-US" w:eastAsia="zh-CN"/>
        </w:rPr>
        <w:t>3.进一步加强监督检查力度。坚持开展督办检查和每月一通报制度，发现问题及时督促整改。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fill="FFFFFF"/>
          <w:vertAlign w:val="baseli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fill="FFFFFF"/>
          <w:vertAlign w:val="baseline"/>
          <w:lang w:eastAsia="zh-CN"/>
        </w:rPr>
        <w:t>六、其他需要报告事项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baseline"/>
        <w:rPr>
          <w:rFonts w:hint="default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fill="FFFFFF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505050"/>
          <w:spacing w:val="0"/>
          <w:sz w:val="32"/>
          <w:szCs w:val="32"/>
          <w:u w:val="none"/>
          <w:shd w:val="clear" w:fill="FFFFFF"/>
          <w:vertAlign w:val="baseline"/>
          <w:lang w:val="en-US" w:eastAsia="zh-CN"/>
        </w:rPr>
        <w:t>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/>
        </w:rPr>
      </w:pPr>
    </w:p>
    <w:sectPr>
      <w:pgSz w:w="11906" w:h="16838"/>
      <w:pgMar w:top="2098" w:right="1587" w:bottom="209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C789F1"/>
    <w:multiLevelType w:val="singleLevel"/>
    <w:tmpl w:val="04C789F1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5EC9986A"/>
    <w:multiLevelType w:val="singleLevel"/>
    <w:tmpl w:val="5EC9986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3635F1"/>
    <w:rsid w:val="08372BF8"/>
    <w:rsid w:val="1E3F0BB8"/>
    <w:rsid w:val="220B471C"/>
    <w:rsid w:val="2C3635F1"/>
    <w:rsid w:val="44D321C7"/>
    <w:rsid w:val="593A1D74"/>
    <w:rsid w:val="5B54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2021-12-28T09:39:00Z</dcterms:created>
  <dc:creator>Administrator</dc:creator>
  <cp:lastModifiedBy>zyc</cp:lastModifiedBy>
  <dcterms:modified xsi:type="dcterms:W3CDTF">2022-01-21T05:50:45Z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987223B5A1304193B27700746BA35C2A</vt:lpwstr>
  </property>
</Properties>
</file>