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龙南经济技术开发区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管委会部门整体支出绩效自评报告</w:t>
      </w:r>
    </w:p>
    <w:p>
      <w:pPr>
        <w:ind w:firstLine="555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一、部门概况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（一）部门主要职责职能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根据江西省机构编制委员会办公室《关于龙南经济技术开发区管理机构“三定”规定有关事宜的批复》（赣编办文【2013】138号）精神，龙南经济技术开发区党工委、管委会为中共赣州市委、赣州市人民政府派出机构，副厅级。负责对辖区政治、经济、文化、社会及生态等各项事务实统一领导和管理。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1、贯彻执行党和国家关于发展经济技术开发区工作的方针、政策；研究制定和组织实施各项管理制度和改革措施。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2、负责开发区的纪检监察、组织、宣传、群团、审计、统计等工作；协调开发区民兵和人民武装工作。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3、负责开发区经济发展、招商引资和企业服务；指导区内企业和科技创新、新产品开发和产业结构调整；按照规定的权限审批开发区内的投资项目。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4、贯彻执国家财税方针政策，编制和实施财政年度预算内、外收支计划，统筹和管理开发区的财政；负责开发区国有资产的管理。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5、承担开发区基础设施建设、项目建设的管理、质量监督及园区管理等工作；负责开发区人防、房产工作。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6、协助配合相关部门做好城乡规划建设、国土资源、环境保护、公安、税收征管、工商管理、质监、食品药品监管、矿产资源管理和地质灾害防治等方面的工作。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7、统一管理开发区教育、卫生、文化、体育、民政等各项社会事务，促进开发区各项公益事业的发展。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8、按有关法律法规要求，负责协调联人大、政协工作。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9、承办市委、市政府交办的其他事项。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（二）部门基本情况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龙南经济技术开发区管委会编制人数7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人，其中：参公编制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50</w:t>
      </w:r>
      <w:r>
        <w:rPr>
          <w:rFonts w:hint="eastAsia" w:ascii="仿宋" w:hAnsi="仿宋" w:eastAsia="仿宋" w:cs="仿宋"/>
          <w:sz w:val="28"/>
          <w:szCs w:val="28"/>
        </w:rPr>
        <w:t>人，全额事业编制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人，实有人数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60</w:t>
      </w:r>
      <w:r>
        <w:rPr>
          <w:rFonts w:hint="eastAsia" w:ascii="仿宋" w:hAnsi="仿宋" w:eastAsia="仿宋" w:cs="仿宋"/>
          <w:sz w:val="28"/>
          <w:szCs w:val="28"/>
        </w:rPr>
        <w:t>人，其中参公人员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45</w:t>
      </w:r>
      <w:r>
        <w:rPr>
          <w:rFonts w:hint="eastAsia" w:ascii="仿宋" w:hAnsi="仿宋" w:eastAsia="仿宋" w:cs="仿宋"/>
          <w:sz w:val="28"/>
          <w:szCs w:val="28"/>
        </w:rPr>
        <w:t>人，全额事业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仿宋"/>
          <w:sz w:val="28"/>
          <w:szCs w:val="28"/>
        </w:rPr>
        <w:t>人。</w:t>
      </w:r>
    </w:p>
    <w:p>
      <w:pPr>
        <w:ind w:firstLine="555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二、部门整体支出绩效实现情况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（一）履职完成情况：从数量、质量、时效等方面归纳反映年度主要计划任务完成情况。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（1）数量指标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zh-TW"/>
        </w:rPr>
        <w:t>紧扣“主攻工业、三年再翻番”发展目标，深入实施“五个千方百计提升”“四个聚焦”“三个创新”“两个强化”行动计划，经济社会高质量发展成绩斐然。1-12月，规上工业增加值同比增长4.9%，列赣州市第4位；营业收入214.27亿元，增长12.1%；利润总额10.26亿元，增长47.3%；规上工业用电量13.2亿千瓦时，增长20.26%，列赣州市第1位；园区税收11.98亿元，增长10.23%,出口总额48.91亿元,增长3.7%。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  <w:lang w:val="zh-TW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（2）质量指标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zh-TW"/>
        </w:rPr>
        <w:t>成功获评省级绿色园区、入选国家级绿色园区（是赣州市唯一入选的园区），获评赣州市文明单位；汇森家居在香港H股上市。</w:t>
      </w:r>
    </w:p>
    <w:p>
      <w:pPr>
        <w:ind w:firstLine="555"/>
        <w:jc w:val="left"/>
        <w:rPr>
          <w:rFonts w:ascii="仿宋" w:hAnsi="仿宋" w:eastAsia="仿宋" w:cs="仿宋"/>
          <w:bCs/>
          <w:sz w:val="28"/>
          <w:szCs w:val="28"/>
          <w:lang w:val="zh-TW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（3）时效指标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ascii="仿宋" w:hAnsi="仿宋" w:eastAsia="仿宋" w:cs="仿宋"/>
          <w:bCs/>
          <w:sz w:val="28"/>
          <w:szCs w:val="28"/>
          <w:lang w:val="zh-TW"/>
        </w:rPr>
        <w:t>资金运行调度有力。资金审批到下拨的运行调度有力</w:t>
      </w:r>
      <w:r>
        <w:rPr>
          <w:rFonts w:hint="eastAsia" w:ascii="仿宋" w:hAnsi="仿宋" w:eastAsia="仿宋" w:cs="仿宋"/>
          <w:bCs/>
          <w:sz w:val="28"/>
          <w:szCs w:val="28"/>
          <w:lang w:val="zh-TW"/>
        </w:rPr>
        <w:t>，</w:t>
      </w:r>
      <w:r>
        <w:rPr>
          <w:rFonts w:ascii="仿宋" w:hAnsi="仿宋" w:eastAsia="仿宋" w:cs="仿宋"/>
          <w:sz w:val="28"/>
          <w:szCs w:val="28"/>
          <w:lang w:val="zh-TW"/>
        </w:rPr>
        <w:t>各项资金按要求专款专用并快速到位</w:t>
      </w:r>
      <w:r>
        <w:rPr>
          <w:rFonts w:hint="eastAsia" w:ascii="仿宋" w:hAnsi="仿宋" w:eastAsia="仿宋" w:cs="仿宋"/>
          <w:bCs/>
          <w:sz w:val="28"/>
          <w:szCs w:val="28"/>
          <w:lang w:val="zh-TW"/>
        </w:rPr>
        <w:t>；</w:t>
      </w:r>
      <w:r>
        <w:rPr>
          <w:rFonts w:ascii="仿宋" w:hAnsi="仿宋" w:eastAsia="仿宋" w:cs="仿宋"/>
          <w:bCs/>
          <w:sz w:val="28"/>
          <w:szCs w:val="28"/>
          <w:lang w:val="zh-TW"/>
        </w:rPr>
        <w:t>项目资金专款专用</w:t>
      </w:r>
      <w:r>
        <w:rPr>
          <w:rFonts w:hint="eastAsia" w:ascii="仿宋" w:hAnsi="仿宋" w:eastAsia="仿宋" w:cs="仿宋"/>
          <w:bCs/>
          <w:sz w:val="28"/>
          <w:szCs w:val="28"/>
          <w:lang w:val="zh-TW"/>
        </w:rPr>
        <w:t>，</w:t>
      </w:r>
      <w:r>
        <w:rPr>
          <w:rFonts w:ascii="仿宋" w:hAnsi="仿宋" w:eastAsia="仿宋" w:cs="仿宋"/>
          <w:sz w:val="28"/>
          <w:szCs w:val="28"/>
          <w:lang w:val="zh-TW"/>
        </w:rPr>
        <w:t>用于园区的基础设施建设，保障了园区的项目资金都用在申报项目上，全部都通过直付资金形式拨付到位</w:t>
      </w:r>
      <w:r>
        <w:rPr>
          <w:rFonts w:ascii="仿宋" w:hAnsi="仿宋" w:eastAsia="仿宋" w:cs="仿宋"/>
          <w:sz w:val="28"/>
          <w:szCs w:val="28"/>
        </w:rPr>
        <w:t>。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（二）履职效果情况：从社会效益、经济效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益（如有）、生态效益（如有）等方面反映部门履职效果的实现情况。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（1）</w:t>
      </w:r>
      <w:r>
        <w:rPr>
          <w:rFonts w:hint="eastAsia" w:ascii="仿宋" w:hAnsi="仿宋" w:eastAsia="仿宋" w:cs="仿宋"/>
          <w:sz w:val="28"/>
          <w:szCs w:val="28"/>
        </w:rPr>
        <w:t>社会效益: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2020年园区党委紧紧围绕基层党组织建设的要求，始终把基层党建作为首要任务来抓，基层党建不断夯实；基础设施不断完善，按照提质增效的思路，不断完善园区水电路等基础设施；重点项目有序推进，全力推动园区重点产业项目建设提速；招商引资形势向好，围绕年度招商任务，突击重点地区，积极招引大优企业；扎实开展重大项目建设百日攻坚，开工建设电子信息产业科技城基础设施路网工程建设PPP项目等21个工程项目，资金总投入约4.62亿元，完成园区土地平整面积约6362亩，建成市政道路约17.5公里、污水管道约16公里、雨水管道16公里，连接“三南”园区的三南快线龙南汶龙至里陂段顺利通车，龙南畜禽定点屠宰厂正式投入运营，为园区招商引资项目落地奠基了坚实的基础。积极开展园区安全专项整治三年行动，设立了经开区企业服务专区，搭建“政银企”对接平台，成功发行规模4亿元“20龙南建投01”企业债，不断提高服务企业效能。积极用好“财园信贷通”“创业信贷通”等政策资金，全年为企业减免税费4亿元、提供信贷支持30.11亿元。认真落实“稳企业保用工”政策措施，累计发放就业补贴资金412.18万元。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（2）</w:t>
      </w:r>
      <w:r>
        <w:rPr>
          <w:rFonts w:hint="eastAsia" w:ascii="仿宋" w:hAnsi="仿宋" w:eastAsia="仿宋" w:cs="仿宋"/>
          <w:sz w:val="28"/>
          <w:szCs w:val="28"/>
        </w:rPr>
        <w:t>经济效益:</w:t>
      </w:r>
      <w:r>
        <w:rPr>
          <w:rFonts w:hint="eastAsia" w:ascii="微软雅黑" w:hAnsi="微软雅黑" w:eastAsia="微软雅黑"/>
          <w:color w:val="333333"/>
          <w:spacing w:val="6"/>
          <w:sz w:val="20"/>
          <w:szCs w:val="20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2020年我单位项目开展的成本全面梳理，对各个项目重叠部分、交叉部分，整合规划，合理调配。对个性部分全程监管。在年初预算项目经费压减的情况下，100%完成上级部门布置的各项工作。有效控制成本，节约开支。</w:t>
      </w:r>
    </w:p>
    <w:p>
      <w:pPr>
        <w:ind w:firstLine="555"/>
        <w:jc w:val="left"/>
        <w:rPr>
          <w:rFonts w:hint="eastAsia"/>
          <w:color w:val="333333"/>
          <w:sz w:val="20"/>
          <w:szCs w:val="20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（3）</w:t>
      </w:r>
      <w:r>
        <w:rPr>
          <w:rFonts w:hint="eastAsia" w:ascii="仿宋" w:hAnsi="仿宋" w:eastAsia="仿宋" w:cs="仿宋"/>
          <w:sz w:val="28"/>
          <w:szCs w:val="28"/>
        </w:rPr>
        <w:t>生态效益：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园区内雨污水管网、强弱电管线预埋和路面硬化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、园区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绿化已竣工验收，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园区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水、电、路、讯配套设施基本完成。</w:t>
      </w:r>
    </w:p>
    <w:p>
      <w:pPr>
        <w:ind w:firstLine="555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三、部门整体支出绩效中存在问题及改进措施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（一）主要问题及原因分析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制度建设不够完善。针对各项预算项目支出工作未制定一系列的财务管理制度，还存在财务制度还没有全面覆盖，已建立制度还不够完善的问题。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（二）改进的方向和具体措施</w:t>
      </w:r>
    </w:p>
    <w:p>
      <w:pPr>
        <w:ind w:firstLine="555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根据单位工作开展的实际状况，对预算项目名称、内容、经费进行相应调整；2.是增加绩效考核业务培训，加大单位对绩效考评的认知，提升绩效考核的重要性；3.必要时候请第三方专家对单位绩效考评做工作进行全面系统的指导。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</w:p>
    <w:p>
      <w:pPr>
        <w:ind w:firstLine="555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</w:p>
    <w:p>
      <w:pPr>
        <w:ind w:firstLine="555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</w:p>
    <w:sectPr>
      <w:pgSz w:w="11906" w:h="16838"/>
      <w:pgMar w:top="851" w:right="1134" w:bottom="851" w:left="1134" w:header="851" w:footer="992" w:gutter="0"/>
      <w:cols w:space="425" w:num="1"/>
      <w:docGrid w:type="lines" w:linePitch="30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113B"/>
    <w:rsid w:val="00017E03"/>
    <w:rsid w:val="00083170"/>
    <w:rsid w:val="000E482F"/>
    <w:rsid w:val="000F0E4A"/>
    <w:rsid w:val="0013113B"/>
    <w:rsid w:val="001812D4"/>
    <w:rsid w:val="001C1F2B"/>
    <w:rsid w:val="002234D8"/>
    <w:rsid w:val="00246EC5"/>
    <w:rsid w:val="0026610A"/>
    <w:rsid w:val="0038730A"/>
    <w:rsid w:val="004A1A4B"/>
    <w:rsid w:val="004C436D"/>
    <w:rsid w:val="004E5979"/>
    <w:rsid w:val="00526377"/>
    <w:rsid w:val="006024CF"/>
    <w:rsid w:val="0075089D"/>
    <w:rsid w:val="0083041E"/>
    <w:rsid w:val="008B05C0"/>
    <w:rsid w:val="00A273BB"/>
    <w:rsid w:val="00BD054A"/>
    <w:rsid w:val="00C15E8C"/>
    <w:rsid w:val="00C77997"/>
    <w:rsid w:val="00D01992"/>
    <w:rsid w:val="00D42B17"/>
    <w:rsid w:val="00E366D2"/>
    <w:rsid w:val="00E95665"/>
    <w:rsid w:val="00F32784"/>
    <w:rsid w:val="00F40320"/>
    <w:rsid w:val="00F50E12"/>
    <w:rsid w:val="00F75859"/>
    <w:rsid w:val="00F9332B"/>
    <w:rsid w:val="02251150"/>
    <w:rsid w:val="06E65352"/>
    <w:rsid w:val="078B7CA7"/>
    <w:rsid w:val="0A5847B8"/>
    <w:rsid w:val="0AC44349"/>
    <w:rsid w:val="13511CD5"/>
    <w:rsid w:val="13FA243C"/>
    <w:rsid w:val="182B2027"/>
    <w:rsid w:val="19FF4130"/>
    <w:rsid w:val="1B8D1DE8"/>
    <w:rsid w:val="208C19DC"/>
    <w:rsid w:val="2217065D"/>
    <w:rsid w:val="24280900"/>
    <w:rsid w:val="260F0843"/>
    <w:rsid w:val="26B34345"/>
    <w:rsid w:val="2D866360"/>
    <w:rsid w:val="2EDC0415"/>
    <w:rsid w:val="34A22009"/>
    <w:rsid w:val="34F90010"/>
    <w:rsid w:val="35466E38"/>
    <w:rsid w:val="37D270A9"/>
    <w:rsid w:val="3D5440BC"/>
    <w:rsid w:val="3EC139D3"/>
    <w:rsid w:val="3F5D376B"/>
    <w:rsid w:val="40A9471F"/>
    <w:rsid w:val="421D59E5"/>
    <w:rsid w:val="44311327"/>
    <w:rsid w:val="450D34CE"/>
    <w:rsid w:val="477C748E"/>
    <w:rsid w:val="4B162675"/>
    <w:rsid w:val="4F367AC5"/>
    <w:rsid w:val="51DE0653"/>
    <w:rsid w:val="53D5495F"/>
    <w:rsid w:val="56815ACA"/>
    <w:rsid w:val="57C33EC0"/>
    <w:rsid w:val="59A7139A"/>
    <w:rsid w:val="5DD9443E"/>
    <w:rsid w:val="61CC1A64"/>
    <w:rsid w:val="66AC7D60"/>
    <w:rsid w:val="6BF31F9E"/>
    <w:rsid w:val="6D4573FA"/>
    <w:rsid w:val="6FCF56A0"/>
    <w:rsid w:val="7370719A"/>
    <w:rsid w:val="73E62FB9"/>
    <w:rsid w:val="77846AEC"/>
    <w:rsid w:val="77FF76BB"/>
    <w:rsid w:val="7EED5B43"/>
    <w:rsid w:val="7FD034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1959</Words>
  <Characters>2056</Characters>
  <Lines>14</Lines>
  <Paragraphs>4</Paragraphs>
  <TotalTime>6</TotalTime>
  <ScaleCrop>false</ScaleCrop>
  <LinksUpToDate>false</LinksUpToDate>
  <CharactersWithSpaces>2079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2021-07-01T07:09:00Z</dcterms:created>
  <dc:creator>Administrator</dc:creator>
  <cp:lastModifiedBy>Administrator</cp:lastModifiedBy>
  <cp:lastPrinted>2020-09-09T07:07:00Z</cp:lastPrinted>
  <dcterms:modified xsi:type="dcterms:W3CDTF">2022-04-02T06:18:08Z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6DCD84BB19DE41CEA4EB7674FA72EC92</vt:lpwstr>
  </property>
</Properties>
</file>