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40" w:lineRule="atLeast"/>
        <w:jc w:val="center"/>
        <w:rPr>
          <w:rFonts w:hint="default" w:ascii="微软雅黑" w:hAnsi="微软雅黑" w:eastAsia="微软雅黑" w:cs="微软雅黑"/>
          <w:sz w:val="39"/>
          <w:szCs w:val="39"/>
        </w:rPr>
      </w:pPr>
      <w:r>
        <w:rPr>
          <w:rFonts w:hint="eastAsia" w:ascii="微软雅黑" w:hAnsi="微软雅黑" w:eastAsia="微软雅黑" w:cs="微软雅黑"/>
          <w:sz w:val="39"/>
          <w:szCs w:val="39"/>
          <w:lang w:eastAsia="zh-CN"/>
        </w:rPr>
        <w:t>龙南市重点工程办公室本级</w:t>
      </w:r>
      <w:r>
        <w:rPr>
          <w:rFonts w:ascii="微软雅黑" w:hAnsi="微软雅黑" w:eastAsia="微软雅黑" w:cs="微软雅黑"/>
          <w:sz w:val="39"/>
          <w:szCs w:val="39"/>
        </w:rPr>
        <w:t>2020年度部门整体支出绩效评价报告</w:t>
      </w:r>
    </w:p>
    <w:p>
      <w:pPr>
        <w:pStyle w:val="7"/>
        <w:widowControl/>
        <w:shd w:val="clear" w:color="auto" w:fill="FFFFFF"/>
        <w:spacing w:beforeAutospacing="0" w:afterAutospacing="0" w:line="420" w:lineRule="atLeast"/>
        <w:jc w:val="both"/>
        <w:rPr>
          <w:rFonts w:ascii="仿宋" w:hAnsi="仿宋" w:eastAsia="仿宋" w:cs="仿宋"/>
          <w:sz w:val="21"/>
          <w:szCs w:val="21"/>
        </w:rPr>
      </w:pPr>
      <w:r>
        <w:rPr>
          <w:rFonts w:hint="eastAsia" w:ascii="仿宋" w:hAnsi="仿宋" w:eastAsia="仿宋" w:cs="仿宋"/>
          <w:b/>
          <w:bCs/>
          <w:sz w:val="32"/>
          <w:szCs w:val="32"/>
          <w:shd w:val="clear" w:color="auto" w:fill="FFFFFF"/>
        </w:rPr>
        <w:t>一、部门概况</w:t>
      </w:r>
    </w:p>
    <w:p>
      <w:pPr>
        <w:pStyle w:val="7"/>
        <w:widowControl/>
        <w:shd w:val="clear" w:color="auto" w:fill="FFFFFF"/>
        <w:spacing w:beforeAutospacing="0" w:afterAutospacing="0" w:line="420" w:lineRule="atLeast"/>
        <w:jc w:val="both"/>
        <w:rPr>
          <w:rFonts w:ascii="仿宋" w:hAnsi="仿宋" w:eastAsia="仿宋" w:cs="仿宋"/>
          <w:sz w:val="21"/>
          <w:szCs w:val="21"/>
        </w:rPr>
      </w:pPr>
      <w:r>
        <w:rPr>
          <w:rFonts w:hint="eastAsia" w:ascii="仿宋" w:hAnsi="仿宋" w:eastAsia="仿宋" w:cs="仿宋"/>
          <w:sz w:val="32"/>
          <w:szCs w:val="32"/>
          <w:shd w:val="clear" w:color="auto" w:fill="FFFFFF"/>
        </w:rPr>
        <w:t>   </w:t>
      </w:r>
      <w:r>
        <w:rPr>
          <w:rFonts w:hint="eastAsia" w:ascii="仿宋" w:hAnsi="仿宋" w:eastAsia="仿宋" w:cs="仿宋"/>
          <w:b/>
          <w:bCs/>
          <w:sz w:val="32"/>
          <w:szCs w:val="32"/>
          <w:shd w:val="clear" w:color="auto" w:fill="FFFFFF"/>
        </w:rPr>
        <w:t>（一）重点办基本情况</w:t>
      </w:r>
    </w:p>
    <w:p>
      <w:pPr>
        <w:pStyle w:val="7"/>
        <w:widowControl/>
        <w:shd w:val="clear" w:color="auto" w:fill="FFFFFF"/>
        <w:spacing w:beforeAutospacing="0" w:afterAutospacing="0" w:line="420" w:lineRule="atLeast"/>
        <w:ind w:firstLine="630"/>
        <w:jc w:val="both"/>
        <w:rPr>
          <w:rFonts w:ascii="仿宋" w:hAnsi="仿宋" w:eastAsia="仿宋" w:cs="仿宋"/>
          <w:sz w:val="21"/>
          <w:szCs w:val="21"/>
        </w:rPr>
      </w:pPr>
      <w:r>
        <w:rPr>
          <w:rFonts w:hint="eastAsia" w:ascii="仿宋" w:hAnsi="仿宋" w:eastAsia="仿宋" w:cs="仿宋"/>
          <w:b/>
          <w:bCs/>
          <w:sz w:val="30"/>
          <w:szCs w:val="30"/>
          <w:shd w:val="clear" w:color="auto" w:fill="FFFFFF"/>
        </w:rPr>
        <w:t>1.部门组织机构及人员</w:t>
      </w:r>
    </w:p>
    <w:p>
      <w:pPr>
        <w:spacing w:line="312" w:lineRule="auto"/>
        <w:ind w:firstLine="645"/>
        <w:rPr>
          <w:rFonts w:ascii="仿宋" w:hAnsi="仿宋" w:eastAsia="仿宋" w:cs="仿宋"/>
          <w:sz w:val="32"/>
          <w:szCs w:val="32"/>
        </w:rPr>
      </w:pPr>
      <w:r>
        <w:rPr>
          <w:rFonts w:hint="eastAsia" w:ascii="仿宋" w:hAnsi="仿宋" w:eastAsia="仿宋" w:cs="仿宋"/>
          <w:sz w:val="32"/>
          <w:szCs w:val="32"/>
          <w:lang w:eastAsia="zh-CN"/>
        </w:rPr>
        <w:t>市重点办本级</w:t>
      </w:r>
      <w:r>
        <w:rPr>
          <w:rFonts w:hint="eastAsia" w:ascii="仿宋" w:hAnsi="仿宋" w:eastAsia="仿宋" w:cs="仿宋"/>
          <w:sz w:val="32"/>
          <w:szCs w:val="32"/>
        </w:rPr>
        <w:t>为独立核算事业单位，共有预算单位1个。编制人数10人，其中：行政编制0人、全部补助事业编制10人；实有人数8人，其中：在职人数8人，全部补助事业人员8人。</w:t>
      </w:r>
    </w:p>
    <w:p>
      <w:pPr>
        <w:pStyle w:val="7"/>
        <w:widowControl/>
        <w:shd w:val="clear" w:color="auto" w:fill="FFFFFF"/>
        <w:spacing w:beforeAutospacing="0" w:afterAutospacing="0" w:line="420" w:lineRule="atLeast"/>
        <w:ind w:firstLine="630"/>
        <w:jc w:val="both"/>
        <w:rPr>
          <w:rFonts w:ascii="仿宋" w:hAnsi="仿宋" w:eastAsia="仿宋" w:cs="仿宋"/>
          <w:sz w:val="21"/>
          <w:szCs w:val="21"/>
        </w:rPr>
      </w:pPr>
      <w:r>
        <w:rPr>
          <w:rFonts w:hint="eastAsia" w:ascii="仿宋" w:hAnsi="仿宋" w:eastAsia="仿宋" w:cs="仿宋"/>
          <w:b/>
          <w:bCs/>
          <w:sz w:val="30"/>
          <w:szCs w:val="30"/>
          <w:shd w:val="clear" w:color="auto" w:fill="FFFFFF"/>
        </w:rPr>
        <w:t>2.部门职能概述</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市重点办本级</w:t>
      </w:r>
      <w:r>
        <w:rPr>
          <w:rFonts w:hint="eastAsia" w:ascii="仿宋" w:hAnsi="仿宋" w:eastAsia="仿宋" w:cs="仿宋"/>
          <w:sz w:val="32"/>
          <w:szCs w:val="32"/>
        </w:rPr>
        <w:t>是市政府职能部门，主要职责是：督促、检查、调度已列入市重大项目的建设进展情况，协调有关部门、组织召开调度会等形式解决项目建设中遇到的问题，负责做好管线搬迁工作，跟踪服务赣深高铁建设工作等。</w:t>
      </w:r>
    </w:p>
    <w:p>
      <w:pPr>
        <w:spacing w:line="312" w:lineRule="auto"/>
        <w:ind w:firstLine="645"/>
        <w:rPr>
          <w:rFonts w:ascii="仿宋" w:hAnsi="仿宋" w:eastAsia="仿宋" w:cs="仿宋"/>
          <w:sz w:val="32"/>
          <w:szCs w:val="32"/>
        </w:rPr>
      </w:pPr>
      <w:r>
        <w:rPr>
          <w:rFonts w:hint="eastAsia" w:ascii="仿宋" w:hAnsi="仿宋" w:eastAsia="仿宋" w:cs="仿宋"/>
          <w:sz w:val="32"/>
          <w:szCs w:val="32"/>
          <w:lang w:eastAsia="zh-CN"/>
        </w:rPr>
        <w:t>市重点办本级</w:t>
      </w:r>
      <w:r>
        <w:rPr>
          <w:rFonts w:hint="eastAsia" w:ascii="仿宋" w:hAnsi="仿宋" w:eastAsia="仿宋" w:cs="仿宋"/>
          <w:sz w:val="32"/>
          <w:szCs w:val="32"/>
        </w:rPr>
        <w:t>2020年的主要工作任务是：做好六大攻坚战项目调度、进度跟踪督查；跟踪市、市重点工程进度；市管线搬迁事宜；跟踪建设通用机场工作；跟踪服务赣深高铁建设工作；跟进赣广高铁设站事宜等。</w:t>
      </w:r>
    </w:p>
    <w:p>
      <w:pPr>
        <w:pStyle w:val="7"/>
        <w:widowControl/>
        <w:shd w:val="clear" w:color="auto" w:fill="FFFFFF"/>
        <w:spacing w:beforeAutospacing="0" w:afterAutospacing="0" w:line="420" w:lineRule="atLeast"/>
        <w:jc w:val="both"/>
        <w:rPr>
          <w:rFonts w:ascii="仿宋" w:hAnsi="仿宋" w:eastAsia="仿宋" w:cs="仿宋"/>
          <w:sz w:val="21"/>
          <w:szCs w:val="21"/>
        </w:rPr>
      </w:pPr>
      <w:r>
        <w:rPr>
          <w:rFonts w:hint="eastAsia" w:ascii="仿宋" w:hAnsi="仿宋" w:eastAsia="仿宋" w:cs="仿宋"/>
          <w:sz w:val="32"/>
          <w:szCs w:val="32"/>
          <w:shd w:val="clear" w:color="auto" w:fill="FFFFFF"/>
        </w:rPr>
        <w:t>   </w:t>
      </w:r>
      <w:r>
        <w:rPr>
          <w:rFonts w:hint="eastAsia" w:ascii="仿宋" w:hAnsi="仿宋" w:eastAsia="仿宋" w:cs="仿宋"/>
          <w:b/>
          <w:bCs/>
          <w:sz w:val="32"/>
          <w:szCs w:val="32"/>
          <w:shd w:val="clear" w:color="auto" w:fill="FFFFFF"/>
        </w:rPr>
        <w:t>（二）部门内部管理情况</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我办</w:t>
      </w:r>
      <w:r>
        <w:rPr>
          <w:rFonts w:hint="eastAsia" w:ascii="仿宋" w:hAnsi="仿宋" w:eastAsia="仿宋" w:cs="仿宋"/>
          <w:sz w:val="32"/>
          <w:szCs w:val="32"/>
          <w:shd w:val="clear" w:color="auto" w:fill="FFFFFF"/>
        </w:rPr>
        <w:t>坚持依法行政、依法理财，规范预算编制、严格预算执行、强化预算监管，取得较好成效。一是强化制度管理。根据财政下发各项政策制定了重点办工作规范流程，包括重大项目（资金）审批流程、专项经费安排审批流程、机关大额经费审批流程、机关经费报账流程、政府采购计划审批流程等，进一步规范了预算资金使用管理，确保了预算资金安全运行。二是强化支出管理。严格执行各项财经纪律，按预算批复额度和开支范围安排支出，合理安排预算进度确保预算资金拨付及时、均衡。三是强化监督管理。我办坚持履行位财务内审制度，对我单位预算执行和财政收支情况、财经纪律执行等进行监管，提高部门整体预算执行能力。</w:t>
      </w:r>
    </w:p>
    <w:p>
      <w:pPr>
        <w:pStyle w:val="7"/>
        <w:widowControl/>
        <w:shd w:val="clear" w:color="auto" w:fill="FFFFFF"/>
        <w:spacing w:beforeAutospacing="0" w:afterAutospacing="0" w:line="420" w:lineRule="atLeast"/>
        <w:jc w:val="both"/>
        <w:rPr>
          <w:rFonts w:ascii="仿宋" w:hAnsi="仿宋" w:eastAsia="仿宋" w:cs="仿宋"/>
          <w:b/>
          <w:bCs/>
          <w:sz w:val="32"/>
          <w:szCs w:val="32"/>
          <w:shd w:val="clear" w:color="auto" w:fill="FFFFFF"/>
        </w:rPr>
      </w:pPr>
      <w:r>
        <w:rPr>
          <w:rFonts w:hint="eastAsia" w:ascii="仿宋" w:hAnsi="仿宋" w:eastAsia="仿宋" w:cs="仿宋"/>
          <w:sz w:val="32"/>
          <w:szCs w:val="32"/>
          <w:shd w:val="clear" w:color="auto" w:fill="FFFFFF"/>
        </w:rPr>
        <w:t> </w:t>
      </w:r>
      <w:r>
        <w:rPr>
          <w:rFonts w:hint="eastAsia" w:ascii="仿宋" w:hAnsi="仿宋" w:eastAsia="仿宋" w:cs="仿宋"/>
          <w:b/>
          <w:bCs/>
          <w:sz w:val="32"/>
          <w:szCs w:val="32"/>
          <w:shd w:val="clear" w:color="auto" w:fill="FFFFFF"/>
        </w:rPr>
        <w:t>（三）年度重点工作任务及完成情况</w:t>
      </w:r>
    </w:p>
    <w:p>
      <w:pPr>
        <w:pStyle w:val="7"/>
        <w:widowControl/>
        <w:shd w:val="clear" w:color="auto" w:fill="FFFFFF"/>
        <w:spacing w:beforeAutospacing="0" w:afterAutospacing="0" w:line="420" w:lineRule="atLeas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1.六大攻坚战工作情况</w:t>
      </w:r>
    </w:p>
    <w:p>
      <w:pPr>
        <w:pStyle w:val="7"/>
        <w:widowControl/>
        <w:shd w:val="clear" w:color="auto" w:fill="FFFFFF"/>
        <w:spacing w:beforeAutospacing="0" w:afterAutospacing="0" w:line="42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发展势头持续强劲。复工复产成效显著，工业园区项目快速推进，城乡建设热火朝天。规上工业企业14天内复工率达到100%，实现应复尽复，工业多项主要经济指标稳居赣州市前列。2020年实施</w:t>
      </w:r>
      <w:bookmarkStart w:id="0" w:name="_GoBack"/>
      <w:bookmarkEnd w:id="0"/>
      <w:r>
        <w:rPr>
          <w:rFonts w:hint="eastAsia" w:ascii="仿宋" w:hAnsi="仿宋" w:eastAsia="仿宋" w:cs="仿宋"/>
          <w:sz w:val="32"/>
          <w:szCs w:val="32"/>
          <w:shd w:val="clear" w:color="auto" w:fill="FFFFFF"/>
        </w:rPr>
        <w:t>六大攻坚战项目160个（新建95个、续建51个、前期14个），总投资1113.0054亿元，年度计划投资192.4522亿元。截至12月底，完成投资100.175亿元，完成年度计划投资的52.05%。其中，列入赣州市调度项目97个，总投资763.62亿元，年度计划投资206.67亿元，完成投资392.24亿元、完成年度计划投资189.79%。发展平台日益完善。成功撤县设市，高质量发展迈上新台阶。北京、东莞龙南商会成立，招商平台日益丰富。跨境电商异军突起，首单开通仅用23天，日单量突破4万。发展成就硕果累累。成功获评“国家卫生县城”，龙南经开区成功获评国家绿色工业园区。连续10届获评全省开放型经济综合奖，连续7年获评全省高质量（科学）发展先进县。在全省工业和信息化工作视频会议、全省工业强省推进大会上作典型发言，在全省率先实现城区5G全覆盖。</w:t>
      </w:r>
    </w:p>
    <w:p>
      <w:pPr>
        <w:pStyle w:val="7"/>
        <w:widowControl/>
        <w:shd w:val="clear" w:color="auto" w:fill="FFFFFF"/>
        <w:spacing w:beforeAutospacing="0" w:afterAutospacing="0" w:line="420" w:lineRule="atLeas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2.省市重点建设项目工作情况</w:t>
      </w:r>
    </w:p>
    <w:p>
      <w:pPr>
        <w:pStyle w:val="7"/>
        <w:widowControl/>
        <w:shd w:val="clear" w:color="auto" w:fill="FFFFFF"/>
        <w:spacing w:beforeAutospacing="0" w:afterAutospacing="0" w:line="42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2020我市列入省重点建设项目共1个，新建项目，已开工建设，项目总投资50亿元，年度计划投资10亿元，截止12月底，完成年度投资12亿元，完成年度投资率120%，超目标时序进度相20个百分点。</w:t>
      </w:r>
    </w:p>
    <w:p>
      <w:pPr>
        <w:pStyle w:val="7"/>
        <w:widowControl/>
        <w:shd w:val="clear" w:color="auto" w:fill="FFFFFF"/>
        <w:spacing w:beforeAutospacing="0" w:afterAutospacing="0" w:line="42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2020年列入赣州市重点工程建设项目7个，其中新建项目4个，续建项目3个，已全部开工建设，开工率100%，项目总投资172.86亿元，年度计划投资25.5亿元，截止12月底，完成年度投资45.03亿元，完成年度投资率176.59%，超过时序进度76.59个百分点。</w:t>
      </w:r>
    </w:p>
    <w:p>
      <w:pPr>
        <w:pStyle w:val="7"/>
        <w:widowControl/>
        <w:shd w:val="clear" w:color="auto" w:fill="FFFFFF"/>
        <w:spacing w:beforeAutospacing="0" w:afterAutospacing="0" w:line="42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是统筹推进，推行“五个一”机制。在重大项目建设管理中，龙南市坚持“1个项目，1—2个区市领导，1—2个责任单位，1个推进方案，1份责任状”的“五个一”工作推进机制。项目责任领导和责任单位对项目的推进建设负直接责任，进一步强化责任意识，创新方法，制定切实可行的推进方案，按照项目的年度目标任务和建设要求，倒排工序，细化时间表，并联实施，全力推进项目建设。</w:t>
      </w:r>
    </w:p>
    <w:p>
      <w:pPr>
        <w:pStyle w:val="7"/>
        <w:widowControl/>
        <w:shd w:val="clear" w:color="auto" w:fill="FFFFFF"/>
        <w:spacing w:beforeAutospacing="0" w:afterAutospacing="0" w:line="42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是加强组织领导，推行“一线工作法”。严格实行项目工作领导负责制，项目责任领导经常下现场召开调度会、协调会、督查会，既当指挥员，又当战斗员，及时解决项目推进中存在的问题，加强项目跟踪服务，在项目落地、施工保障、协调配合上狠下功夫，形成“一把手亲自抓，选调精干力量专门抓，各相关部门协调配合”齐抓共管的高位推动机制。</w:t>
      </w:r>
    </w:p>
    <w:p>
      <w:pPr>
        <w:pStyle w:val="7"/>
        <w:widowControl/>
        <w:shd w:val="clear" w:color="auto" w:fill="FFFFFF"/>
        <w:spacing w:beforeAutospacing="0" w:afterAutospacing="0" w:line="42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是建立调度通报机制。实行一月一调度一通报、一季一督查推进机制，建立和实行重大项目建设协调推进联席会议机制，推动项目早落地、早开工、早投产。强化考评奖惩，每季度对重大项目建设年度投资完成率排名后三位且未达时序的项目进行约谈，对重大项目建设成效明显、成绩突出的项目按规定报请省、市政府给予及时奖励。</w:t>
      </w:r>
    </w:p>
    <w:p>
      <w:pPr>
        <w:pStyle w:val="7"/>
        <w:widowControl/>
        <w:numPr>
          <w:ilvl w:val="0"/>
          <w:numId w:val="1"/>
        </w:numPr>
        <w:shd w:val="clear" w:color="auto" w:fill="FFFFFF"/>
        <w:spacing w:beforeAutospacing="0" w:afterAutospacing="0" w:line="420" w:lineRule="atLeas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管线搬迁工作情况</w:t>
      </w:r>
    </w:p>
    <w:p>
      <w:pPr>
        <w:pStyle w:val="7"/>
        <w:widowControl/>
        <w:shd w:val="clear" w:color="auto" w:fill="FFFFFF"/>
        <w:spacing w:beforeAutospacing="0" w:afterAutospacing="0" w:line="420" w:lineRule="atLeas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2020年，主要组织现场踏勘了五桥十路PPP项目一期人民大道延伸段项目、龙南市殡仪馆（公墓）搬迁新建项目、龙南市党校新建（龙南人才产业园）项目等30个涉及管线征迁的市“六大攻坚战”项目及招商引资项目。2020年管线征迁补偿金额共计2434.5万元，其中龙南市供电公司累计1834.5万元，赣州市电信传输局（国防光缆和电信缆线）累计600万元。</w:t>
      </w:r>
    </w:p>
    <w:p>
      <w:pPr>
        <w:pStyle w:val="7"/>
        <w:widowControl/>
        <w:shd w:val="clear" w:color="auto" w:fill="FFFFFF"/>
        <w:spacing w:beforeAutospacing="0" w:afterAutospacing="0" w:line="420" w:lineRule="atLeas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4.铁路建设工作情况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4.1 赣深客专（龙南段）征地拆迁稳步推进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我办主动协调督促龙南镇、里仁镇、关西镇做好征地拆迁及其他影响赣深客专建设相关事宜。在规定时间节点前已完成四电用地103.44亩，红线补征地43.124亩征地，为赣深客专（龙南段）的工程建设打下坚实基础。已完成占补平衡、失地农民保险协议及补充协议签订，协助提交了林地报批所需相关材料，已督促相关乡镇会同施工单位进行三改摸底调查。</w:t>
      </w:r>
    </w:p>
    <w:p>
      <w:pPr>
        <w:spacing w:line="560" w:lineRule="exact"/>
        <w:ind w:firstLine="605" w:firstLineChars="200"/>
        <w:rPr>
          <w:rFonts w:ascii="仿宋" w:hAnsi="仿宋" w:eastAsia="仿宋" w:cs="仿宋"/>
          <w:w w:val="95"/>
          <w:sz w:val="32"/>
          <w:szCs w:val="32"/>
        </w:rPr>
      </w:pPr>
      <w:r>
        <w:rPr>
          <w:rFonts w:hint="eastAsia" w:ascii="仿宋" w:hAnsi="仿宋" w:eastAsia="仿宋" w:cs="仿宋"/>
          <w:w w:val="95"/>
          <w:sz w:val="32"/>
          <w:szCs w:val="32"/>
        </w:rPr>
        <w:t>4.2 赣深客专（龙南段）各项目部疫情防控工作安全有序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省、赣州市、市疫情防控指挥部相关会议精神，做好新冠疫情防控部署，督促赣深客专（龙南段）GSJXZQ-3标中铁十六局二分部、GSJXZQ-4标中铁三局一分部、二分部，GSJXFJ-2标中铁十六局站房部、中铁建电气化局按要求做到疫情防控措施，突击查看返岗人员是否隔离到位等。在复工复产阶段，每日要求各分部将返岗人员名单、健康码、行程码发送至市铁路办邮箱，监测由中高风险地区返岗人员名单，并联系市疫情防控指挥部下发交办函，督促返岗人员到市第一人民医院核酸检测及血清检测，保证了新冠疫情期间安全有序复工复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2.3 赣深客专（龙南段）各项目部安全生产及农民工工资发放到位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以来，根据省、赣州市、市级安全生产会议及文件要求，通过转发文件，微信群提醒等方式，督促建设单位昌九城际铁路股份有限公司、施工单位赣深客专（龙南段）GSJXZQ-3标中铁十六局二分部、GSJXZQ-4标中铁三局一分部、二分部，GSJXFJ-2标中铁十六局站房部、中铁建电气化局做好安全生产、农民工工资支付等工作，要求在确保赣深客专建设工期的前提下，也要保证安全施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2.4 赣深客专（龙南段）项目信访维稳可控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共接到市委信访局或市纪委转来信访件6件，其中包含省委第八巡视组2次关于金塘新区到石峡山水库便道维修及扬尘交办件、中铁三局二分部马自权欠薪信访件1件、徐石岩送纪委关于房屋拆迁信件1件及两次中铁三局二分部关于欠薪事件，我办均积极主动与信访人、相关施工单位进行沟通协调，信访件都能得到有效解决，为赣深客专（龙南段）项目稳步推进奠定基础。</w:t>
      </w:r>
    </w:p>
    <w:p>
      <w:pPr>
        <w:pStyle w:val="7"/>
        <w:widowControl/>
        <w:numPr>
          <w:ilvl w:val="0"/>
          <w:numId w:val="2"/>
        </w:numPr>
        <w:shd w:val="clear" w:color="auto" w:fill="FFFFFF"/>
        <w:spacing w:beforeAutospacing="0" w:afterAutospacing="0" w:line="420" w:lineRule="atLeast"/>
        <w:ind w:firstLine="643" w:firstLineChars="20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机场建设工作情况</w:t>
      </w:r>
    </w:p>
    <w:p>
      <w:pPr>
        <w:pStyle w:val="3"/>
        <w:ind w:firstLine="640"/>
        <w:rPr>
          <w:rFonts w:ascii="仿宋" w:hAnsi="仿宋" w:cs="仿宋"/>
        </w:rPr>
      </w:pPr>
      <w:r>
        <w:rPr>
          <w:rFonts w:hint="eastAsia" w:ascii="仿宋" w:hAnsi="仿宋" w:cs="仿宋"/>
        </w:rPr>
        <w:t>已确定首选场址，完成电磁环境测试、障碍物测量工作并出具报告，已完成选址报告（初稿），并报军方初审同意；我办与江西龙浩公司赴省发改委汇报龙南通用机场选址工作，并提交选址报告。市领导梁敏辉率领</w:t>
      </w:r>
      <w:r>
        <w:rPr>
          <w:rFonts w:hint="eastAsia" w:ascii="仿宋" w:hAnsi="仿宋" w:cs="仿宋"/>
          <w:lang w:eastAsia="zh-CN"/>
        </w:rPr>
        <w:t>市重点办本级</w:t>
      </w:r>
      <w:r>
        <w:rPr>
          <w:rFonts w:hint="eastAsia" w:ascii="仿宋" w:hAnsi="仿宋" w:cs="仿宋"/>
        </w:rPr>
        <w:t>与江西龙浩公司赴东部战区汇报龙南通用机场选址工作。已将《关于报请空军批准龙南通航机场场址的请示》报赣州市发改委，已形成相关审查请示材料，待上级部门批复。</w:t>
      </w:r>
    </w:p>
    <w:p>
      <w:pPr>
        <w:pStyle w:val="7"/>
        <w:widowControl/>
        <w:shd w:val="clear" w:color="auto" w:fill="FFFFFF"/>
        <w:spacing w:beforeAutospacing="0" w:afterAutospacing="0" w:line="420" w:lineRule="atLeast"/>
        <w:ind w:firstLine="645"/>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二、部门整体支出管理及使用情况</w:t>
      </w:r>
    </w:p>
    <w:p>
      <w:pPr>
        <w:ind w:firstLine="630"/>
        <w:jc w:val="left"/>
        <w:rPr>
          <w:rFonts w:hint="eastAsia" w:ascii="仿宋" w:hAnsi="仿宋" w:eastAsia="仿宋"/>
          <w:sz w:val="30"/>
          <w:szCs w:val="30"/>
        </w:rPr>
      </w:pPr>
      <w:r>
        <w:rPr>
          <w:rFonts w:hint="eastAsia" w:ascii="仿宋" w:hAnsi="仿宋" w:eastAsia="仿宋"/>
          <w:sz w:val="30"/>
          <w:szCs w:val="30"/>
        </w:rPr>
        <w:t>本部门2020年度支出总计 253.13 万元，其中本年支出合计253.13万元，较2019年减少15.39 万元，下降5.73 %，主要原因是：1、正常工资晋级增加；2、是1名事业编制人员调出；年末结转和结余  0 万元，较2019年无变化。</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 135.73万元，占53.62 %；项目支出117.40 万元，占 46.38  %；经营支出 0  万元，占 0 %；其他支出（对附属单位补助支出、上缴上级支出） 0万元，占0 %。</w:t>
      </w:r>
    </w:p>
    <w:p>
      <w:pPr>
        <w:pStyle w:val="7"/>
        <w:widowControl/>
        <w:shd w:val="clear" w:color="auto" w:fill="FFFFFF"/>
        <w:spacing w:beforeAutospacing="0" w:afterAutospacing="0" w:line="420" w:lineRule="atLeast"/>
        <w:ind w:firstLine="630"/>
        <w:jc w:val="both"/>
        <w:rPr>
          <w:rFonts w:ascii="仿宋" w:hAnsi="仿宋" w:eastAsia="仿宋" w:cs="仿宋"/>
          <w:sz w:val="21"/>
          <w:szCs w:val="21"/>
        </w:rPr>
      </w:pPr>
      <w:r>
        <w:rPr>
          <w:rFonts w:hint="eastAsia" w:ascii="仿宋" w:hAnsi="仿宋" w:eastAsia="仿宋" w:cs="仿宋"/>
          <w:b/>
          <w:bCs/>
          <w:sz w:val="32"/>
          <w:szCs w:val="32"/>
          <w:shd w:val="clear" w:color="auto" w:fill="FFFFFF"/>
        </w:rPr>
        <w:t>三、部门整体支出绩效情况</w:t>
      </w:r>
    </w:p>
    <w:p>
      <w:pPr>
        <w:pStyle w:val="7"/>
        <w:widowControl/>
        <w:shd w:val="clear" w:color="auto" w:fill="FFFFFF"/>
        <w:spacing w:beforeAutospacing="0" w:afterAutospacing="0" w:line="420" w:lineRule="atLeast"/>
        <w:ind w:firstLine="630"/>
        <w:jc w:val="both"/>
        <w:rPr>
          <w:rFonts w:ascii="仿宋" w:hAnsi="仿宋" w:eastAsia="仿宋" w:cs="仿宋"/>
          <w:sz w:val="21"/>
          <w:szCs w:val="21"/>
        </w:rPr>
      </w:pPr>
      <w:r>
        <w:rPr>
          <w:rFonts w:hint="eastAsia" w:ascii="仿宋" w:hAnsi="仿宋" w:eastAsia="仿宋" w:cs="仿宋"/>
          <w:b/>
          <w:bCs/>
          <w:sz w:val="32"/>
          <w:szCs w:val="32"/>
          <w:shd w:val="clear" w:color="auto" w:fill="FFFFFF"/>
        </w:rPr>
        <w:t>(一)评价得分及等级标准。</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按照《赣州市财政局关于加强预算绩效管理工作的意见》（赣市财预字〔2014〕32号）文件精神，参照财政部《部门整体支出绩效评价共性指标体系框架》制定了我办的《部门整体支出绩效评价指标体系评分表》，经我办自评，2020年整体支出绩效评价得分92.5分。</w:t>
      </w:r>
    </w:p>
    <w:p>
      <w:pPr>
        <w:pStyle w:val="7"/>
        <w:widowControl/>
        <w:shd w:val="clear" w:color="auto" w:fill="FFFFFF"/>
        <w:spacing w:beforeAutospacing="0" w:afterAutospacing="0" w:line="420" w:lineRule="atLeast"/>
        <w:ind w:firstLine="642"/>
        <w:jc w:val="both"/>
        <w:rPr>
          <w:rFonts w:ascii="仿宋" w:hAnsi="仿宋" w:eastAsia="仿宋" w:cs="仿宋"/>
          <w:sz w:val="21"/>
          <w:szCs w:val="21"/>
        </w:rPr>
      </w:pPr>
      <w:r>
        <w:rPr>
          <w:rFonts w:hint="eastAsia" w:ascii="仿宋" w:hAnsi="仿宋" w:eastAsia="仿宋" w:cs="仿宋"/>
          <w:b/>
          <w:bCs/>
          <w:sz w:val="32"/>
          <w:szCs w:val="32"/>
          <w:shd w:val="clear" w:color="auto" w:fill="FFFFFF"/>
        </w:rPr>
        <w:t>(二)部门履职及履职效益情况。</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1.预算配置控制较好。财政供养人员控制在预算编制以内，编制内在职人员控制率≦100%。</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2.预算执行比较到位。预算完成率达到100%，全年无截留或滞留专项资金情况。</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3.预算管理较为理想。制度执行总体规范，严格政府采购相关法律法规的规定，政府采购执行率达到100%。</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4.管理制度健全。进一步明确了财政预算资金审批手续和拨付程序、机关行政经费审批手续和报销程序，加强了财务管理，规范了收支行为，保证了财务管理工作规范有序进行。</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5.资金使用管理逐步加强。单位支出严格按照国家财经法规和财务管理制度规定执行，部门预算收支严格按年初部门预算方案执行，部门预决算、“三公”经费预决算按要求及时进行了公开。</w:t>
      </w:r>
    </w:p>
    <w:p>
      <w:pPr>
        <w:pStyle w:val="7"/>
        <w:widowControl/>
        <w:shd w:val="clear" w:color="auto" w:fill="FFFFFF"/>
        <w:spacing w:beforeAutospacing="0" w:afterAutospacing="0" w:line="420" w:lineRule="atLeast"/>
        <w:ind w:firstLine="642"/>
        <w:jc w:val="both"/>
        <w:rPr>
          <w:rFonts w:ascii="仿宋" w:hAnsi="仿宋" w:eastAsia="仿宋" w:cs="仿宋"/>
          <w:sz w:val="21"/>
          <w:szCs w:val="21"/>
        </w:rPr>
      </w:pPr>
      <w:r>
        <w:rPr>
          <w:rFonts w:hint="eastAsia" w:ascii="仿宋" w:hAnsi="仿宋" w:eastAsia="仿宋" w:cs="仿宋"/>
          <w:b/>
          <w:bCs/>
          <w:sz w:val="32"/>
          <w:szCs w:val="32"/>
          <w:shd w:val="clear" w:color="auto" w:fill="FFFFFF"/>
        </w:rPr>
        <w:t>四、存在的主要问题</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（一）预算编制工作有待细化。预算编制不够明确和细化，预算编制的合理性需要提高。预算执行力度还要进一步加强。</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（二）财务工作水平有待提高。财务缺乏创新，在精度和深度上欠缺，尤其是绩效管理工作方面还需学深悟透，强化管理。</w:t>
      </w:r>
    </w:p>
    <w:p>
      <w:pPr>
        <w:pStyle w:val="7"/>
        <w:widowControl/>
        <w:shd w:val="clear" w:color="auto" w:fill="FFFFFF"/>
        <w:spacing w:beforeAutospacing="0" w:afterAutospacing="0" w:line="600" w:lineRule="atLeast"/>
        <w:ind w:firstLine="602"/>
        <w:jc w:val="both"/>
        <w:rPr>
          <w:rFonts w:ascii="仿宋" w:hAnsi="仿宋" w:eastAsia="仿宋" w:cs="仿宋"/>
          <w:b/>
          <w:bCs/>
          <w:sz w:val="21"/>
          <w:szCs w:val="21"/>
        </w:rPr>
      </w:pPr>
      <w:r>
        <w:rPr>
          <w:rFonts w:hint="eastAsia" w:ascii="仿宋" w:hAnsi="仿宋" w:eastAsia="仿宋" w:cs="仿宋"/>
          <w:b/>
          <w:bCs/>
          <w:sz w:val="30"/>
          <w:szCs w:val="30"/>
          <w:shd w:val="clear" w:color="auto" w:fill="FFFFFF"/>
        </w:rPr>
        <w:t>五、改进措施和有关建议</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一）细化预算编制，严格预算执行。进一步加强单位内部机构各科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严格预算执行，提高预算执行率。</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二）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7"/>
        <w:widowControl/>
        <w:shd w:val="clear" w:color="auto" w:fill="FFFFFF"/>
        <w:spacing w:beforeAutospacing="0" w:afterAutospacing="0" w:line="600" w:lineRule="atLeast"/>
        <w:ind w:firstLine="600"/>
        <w:jc w:val="both"/>
        <w:rPr>
          <w:rFonts w:ascii="仿宋" w:hAnsi="仿宋" w:eastAsia="仿宋" w:cs="仿宋"/>
          <w:sz w:val="21"/>
          <w:szCs w:val="21"/>
        </w:rPr>
      </w:pPr>
      <w:r>
        <w:rPr>
          <w:rFonts w:hint="eastAsia" w:ascii="仿宋" w:hAnsi="仿宋" w:eastAsia="仿宋" w:cs="仿宋"/>
          <w:sz w:val="30"/>
          <w:szCs w:val="30"/>
          <w:shd w:val="clear" w:color="auto" w:fill="FFFFFF"/>
        </w:rPr>
        <w:t>（三）完善资产管理，严格“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3753"/>
    <w:multiLevelType w:val="singleLevel"/>
    <w:tmpl w:val="320A3753"/>
    <w:lvl w:ilvl="0" w:tentative="0">
      <w:start w:val="5"/>
      <w:numFmt w:val="decimal"/>
      <w:lvlText w:val="%1."/>
      <w:lvlJc w:val="left"/>
      <w:pPr>
        <w:tabs>
          <w:tab w:val="left" w:pos="312"/>
        </w:tabs>
      </w:pPr>
    </w:lvl>
  </w:abstractNum>
  <w:abstractNum w:abstractNumId="1">
    <w:nsid w:val="3A9D2494"/>
    <w:multiLevelType w:val="singleLevel"/>
    <w:tmpl w:val="3A9D2494"/>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B32C08"/>
    <w:rsid w:val="000C0EAF"/>
    <w:rsid w:val="001127CD"/>
    <w:rsid w:val="0018165B"/>
    <w:rsid w:val="001A695A"/>
    <w:rsid w:val="001C52CB"/>
    <w:rsid w:val="002128DF"/>
    <w:rsid w:val="002E3303"/>
    <w:rsid w:val="003751F6"/>
    <w:rsid w:val="0039030D"/>
    <w:rsid w:val="003C7613"/>
    <w:rsid w:val="004801B5"/>
    <w:rsid w:val="004C0518"/>
    <w:rsid w:val="00566475"/>
    <w:rsid w:val="0057692B"/>
    <w:rsid w:val="0059608B"/>
    <w:rsid w:val="005E3481"/>
    <w:rsid w:val="007B5B0D"/>
    <w:rsid w:val="007D759A"/>
    <w:rsid w:val="00805456"/>
    <w:rsid w:val="008357ED"/>
    <w:rsid w:val="008D481E"/>
    <w:rsid w:val="00937094"/>
    <w:rsid w:val="00B67A2E"/>
    <w:rsid w:val="00C22560"/>
    <w:rsid w:val="00D50E5F"/>
    <w:rsid w:val="00DA53E8"/>
    <w:rsid w:val="00DC2C0A"/>
    <w:rsid w:val="00E7122F"/>
    <w:rsid w:val="00E84647"/>
    <w:rsid w:val="00FE56D4"/>
    <w:rsid w:val="01B32C08"/>
    <w:rsid w:val="18116CCA"/>
    <w:rsid w:val="2690486A"/>
    <w:rsid w:val="70C663D6"/>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ascii="Calibri" w:hAnsi="Calibri" w:eastAsia="仿宋"/>
      <w:sz w:val="32"/>
    </w:rPr>
  </w:style>
  <w:style w:type="paragraph" w:styleId="4">
    <w:name w:val="Body Text Indent"/>
    <w:basedOn w:val="3"/>
    <w:next w:val="3"/>
    <w:unhideWhenUsed/>
    <w:qFormat/>
    <w:uiPriority w:val="99"/>
    <w:pPr>
      <w:spacing w:after="120"/>
      <w:ind w:left="420" w:leftChars="2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658</Words>
  <Characters>3753</Characters>
  <Lines>31</Lines>
  <Paragraphs>8</Paragraphs>
  <TotalTime>0</TotalTime>
  <ScaleCrop>false</ScaleCrop>
  <LinksUpToDate>false</LinksUpToDate>
  <CharactersWithSpaces>4403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2021-04-26T06:47:00Z</dcterms:created>
  <dc:creator>L·J</dc:creator>
  <cp:lastModifiedBy>Administrator</cp:lastModifiedBy>
  <dcterms:modified xsi:type="dcterms:W3CDTF">2022-09-02T10:39:51Z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FBEA0897E59945CFB09056C9BF549ADE</vt:lpwstr>
  </property>
</Properties>
</file>