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textAlignment w:val="baseline"/>
        <w:rPr>
          <w:b/>
          <w:bCs/>
          <w:i w:val="0"/>
          <w:iCs w:val="0"/>
          <w:caps w:val="0"/>
          <w:color w:val="333333"/>
          <w:spacing w:val="0"/>
          <w:sz w:val="42"/>
          <w:szCs w:val="42"/>
          <w:vertAlign w:val="baseline"/>
        </w:rPr>
      </w:pPr>
      <w:r>
        <w:rPr>
          <w:rFonts w:hint="eastAsia"/>
          <w:b/>
          <w:bCs/>
          <w:i w:val="0"/>
          <w:iCs w:val="0"/>
          <w:caps w:val="0"/>
          <w:color w:val="333333"/>
          <w:spacing w:val="0"/>
          <w:sz w:val="42"/>
          <w:szCs w:val="42"/>
          <w:vertAlign w:val="baseline"/>
          <w:lang w:val="en-US" w:eastAsia="zh-CN"/>
        </w:rPr>
        <w:t>2021年商务局项目支出绩效运行情况</w:t>
      </w:r>
      <w:r>
        <w:rPr>
          <w:b/>
          <w:bCs/>
          <w:i w:val="0"/>
          <w:iCs w:val="0"/>
          <w:caps w:val="0"/>
          <w:color w:val="333333"/>
          <w:spacing w:val="0"/>
          <w:sz w:val="42"/>
          <w:szCs w:val="42"/>
          <w:vertAlign w:val="baseline"/>
        </w:rPr>
        <w:t>报告</w:t>
      </w:r>
    </w:p>
    <w:p/>
    <w:p>
      <w:pPr>
        <w:spacing w:line="312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一、部门主要职责</w:t>
      </w:r>
    </w:p>
    <w:p>
      <w:pPr>
        <w:spacing w:line="312" w:lineRule="auto"/>
        <w:ind w:firstLine="63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根据《关于印发龙南县商务局主要职责内设机构和人员编制规定的通知》（龙府办[2010]61号）文件精神，商务局主要牵头负责全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招商引资业务管理，以及外贸进出口业务管理工作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12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二、202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仿宋" w:eastAsia="黑体"/>
          <w:sz w:val="32"/>
          <w:szCs w:val="32"/>
        </w:rPr>
        <w:t>年</w:t>
      </w:r>
      <w:r>
        <w:rPr>
          <w:rFonts w:hint="eastAsia" w:ascii="黑体" w:hAnsi="仿宋" w:eastAsia="黑体"/>
          <w:sz w:val="32"/>
          <w:szCs w:val="32"/>
          <w:lang w:eastAsia="zh-CN"/>
        </w:rPr>
        <w:t>绩效目标</w:t>
      </w:r>
    </w:p>
    <w:p>
      <w:pPr>
        <w:spacing w:line="312" w:lineRule="auto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/>
          <w:sz w:val="32"/>
          <w:szCs w:val="32"/>
          <w:lang w:eastAsia="zh-CN"/>
        </w:rPr>
        <w:t>商务</w:t>
      </w:r>
      <w:r>
        <w:rPr>
          <w:rFonts w:hint="eastAsia" w:ascii="仿宋" w:hAnsi="仿宋" w:eastAsia="仿宋"/>
          <w:sz w:val="32"/>
          <w:szCs w:val="32"/>
        </w:rPr>
        <w:t>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年的主要工作任务是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力争2021年利用外资实现15934万美元，同比增长7%；实际利用省外2000万元以上项目资金93亿元，同比增长约8%；实现外贸出口总额48.6亿元，同比增长3%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12" w:lineRule="auto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截止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2021年11月，2021年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1-11月进出口总额633130.44万元，同比增长18.08%：其中出口461954.53万元，同比增长7.42%；进口171175.91万元，同比增长61.32%。预计全年进出口总额693000万元，同比增长13.07%：其中出口508000万元，同比增长3.84%；进口185000万元，同比增长49.44%。</w:t>
      </w:r>
    </w:p>
    <w:p>
      <w:pPr>
        <w:spacing w:line="312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default" w:ascii="黑体" w:hAnsi="仿宋" w:eastAsia="黑体"/>
          <w:sz w:val="32"/>
          <w:szCs w:val="32"/>
        </w:rPr>
        <w:t>三、绩效评价工作情况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20" w:lineRule="exact"/>
        <w:ind w:left="0" w:right="0" w:firstLine="640" w:firstLineChars="200"/>
        <w:textAlignment w:val="baseline"/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（一）绩效评价目的。严格执行《预算法》，强化支出责任，提高知识产权事业资金使用效益，对支出情况开展绩效评价，践行“花钱必问效、无效必问责”。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20" w:lineRule="exact"/>
        <w:ind w:left="0" w:right="0" w:firstLine="640" w:firstLineChars="200"/>
        <w:textAlignment w:val="baseline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（二）绩效评价原则、评价指标体系、评价方法。本着客观公正和有效性原则，按照设定的指标体系，进行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评价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20" w:lineRule="exact"/>
        <w:ind w:left="0" w:right="0" w:firstLine="640" w:firstLineChars="200"/>
        <w:textAlignment w:val="baseline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（三）绩效评价工作过程。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20" w:lineRule="exact"/>
        <w:ind w:left="0" w:right="0" w:firstLine="640" w:firstLineChars="200"/>
        <w:textAlignment w:val="baseline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按照规定的工作程序组织绩效评价自评，注重评价质量，撰写绩效评价报告。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20" w:lineRule="exact"/>
        <w:ind w:left="0" w:right="0" w:firstLine="640" w:firstLineChars="200"/>
        <w:textAlignment w:val="baseline"/>
        <w:rPr>
          <w:rFonts w:hint="default" w:ascii="黑体" w:hAnsi="仿宋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仿宋" w:eastAsia="黑体" w:cstheme="minorBidi"/>
          <w:kern w:val="2"/>
          <w:sz w:val="32"/>
          <w:szCs w:val="32"/>
          <w:lang w:val="en-US" w:eastAsia="zh-CN" w:bidi="ar-SA"/>
        </w:rPr>
        <w:t>四、绩效评价指标分析情况</w:t>
      </w:r>
    </w:p>
    <w:p>
      <w:pPr>
        <w:spacing w:line="312" w:lineRule="auto"/>
        <w:ind w:firstLine="63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（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一）项目资金情况分析</w:t>
      </w:r>
    </w:p>
    <w:p>
      <w:pPr>
        <w:spacing w:line="312" w:lineRule="auto"/>
        <w:ind w:firstLine="63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1.项目资金到位情况。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资金及时到位，未延误各项目、各业务开展。</w:t>
      </w:r>
    </w:p>
    <w:p>
      <w:pPr>
        <w:spacing w:line="312" w:lineRule="auto"/>
        <w:ind w:firstLine="63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2.项目资金使用情况。资金使用合规，无截留、挪用等现象，资金使用效益明显。</w:t>
      </w:r>
    </w:p>
    <w:p>
      <w:pPr>
        <w:spacing w:line="312" w:lineRule="auto"/>
        <w:ind w:firstLine="63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3.项目资金管理情况。依据充分，有资金管理办法，资金管理办法较规范。</w:t>
      </w:r>
    </w:p>
    <w:p>
      <w:pPr>
        <w:spacing w:line="312" w:lineRule="auto"/>
        <w:ind w:firstLine="63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（二）项目实施情况分析。</w:t>
      </w:r>
    </w:p>
    <w:p>
      <w:pPr>
        <w:spacing w:line="312" w:lineRule="auto"/>
        <w:ind w:firstLine="63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1.项目组织情况分析。项目严格执行相关制度和文件规定，顺利完成项目预期目标。</w:t>
      </w:r>
    </w:p>
    <w:p>
      <w:pPr>
        <w:spacing w:line="312" w:lineRule="auto"/>
        <w:ind w:firstLine="63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2.项目管理情况分析。领导重视，专人管理，责任明确。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20" w:lineRule="exact"/>
        <w:ind w:left="0" w:right="0" w:firstLine="640" w:firstLineChars="200"/>
        <w:jc w:val="left"/>
        <w:textAlignment w:val="baseline"/>
        <w:rPr>
          <w:rFonts w:hint="eastAsia" w:ascii="黑体" w:hAnsi="仿宋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仿宋" w:eastAsia="黑体" w:cstheme="minorBidi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黑体" w:hAnsi="仿宋" w:eastAsia="黑体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黑体" w:hAnsi="仿宋" w:eastAsia="黑体" w:cstheme="minorBidi"/>
          <w:kern w:val="2"/>
          <w:sz w:val="32"/>
          <w:szCs w:val="32"/>
          <w:lang w:val="en-US" w:eastAsia="zh-CN" w:bidi="ar-SA"/>
        </w:rPr>
        <w:t>总体</w:t>
      </w:r>
      <w:r>
        <w:rPr>
          <w:rFonts w:hint="default" w:ascii="黑体" w:hAnsi="仿宋" w:eastAsia="黑体" w:cstheme="minorBidi"/>
          <w:kern w:val="2"/>
          <w:sz w:val="32"/>
          <w:szCs w:val="32"/>
          <w:lang w:val="en-US" w:eastAsia="zh-CN" w:bidi="ar-SA"/>
        </w:rPr>
        <w:t>绩效</w:t>
      </w:r>
      <w:r>
        <w:rPr>
          <w:rFonts w:hint="eastAsia" w:ascii="黑体" w:hAnsi="仿宋" w:eastAsia="黑体" w:cstheme="minorBidi"/>
          <w:kern w:val="2"/>
          <w:sz w:val="32"/>
          <w:szCs w:val="32"/>
          <w:lang w:val="en-US" w:eastAsia="zh-CN" w:bidi="ar-SA"/>
        </w:rPr>
        <w:t>运行情况</w:t>
      </w:r>
    </w:p>
    <w:p>
      <w:pPr>
        <w:spacing w:line="312" w:lineRule="auto"/>
        <w:ind w:firstLine="63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绩效运行情况总体符合资金申拨及拨付程序，严格按照财务制度运行、管理，使本单位各项业务工作开展顺利，保障了开放型经济各项工作的平稳运行。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58DF"/>
    <w:rsid w:val="2FAB215F"/>
    <w:rsid w:val="2FD23E16"/>
    <w:rsid w:val="305F4F6B"/>
    <w:rsid w:val="4E944E3F"/>
    <w:rsid w:val="510F512A"/>
    <w:rsid w:val="6A25548D"/>
    <w:rsid w:val="71685DAD"/>
    <w:rsid w:val="7EF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2022-01-14T01:30:57Z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65A8909FF7D34FBD902E89C673ED0B8A</vt:lpwstr>
  </property>
</Properties>
</file>